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ED6412" w:rsidRDefault="007D461F" w:rsidP="00ED6412">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ED6412" w:rsidRDefault="00657DDE" w:rsidP="00ED6412">
      <w:pPr>
        <w:jc w:val="center"/>
        <w:rPr>
          <w:sz w:val="22"/>
          <w:szCs w:val="22"/>
        </w:rPr>
      </w:pPr>
      <w:r>
        <w:rPr>
          <w:b/>
          <w:sz w:val="22"/>
          <w:u w:val="single"/>
        </w:rPr>
        <w:t xml:space="preserve">Помощи за широколентови инфраструктури  </w:t>
      </w:r>
    </w:p>
    <w:p w:rsidR="007D461F" w:rsidRPr="00ED6412" w:rsidRDefault="007D461F" w:rsidP="00ED6412">
      <w:pPr>
        <w:rPr>
          <w:sz w:val="22"/>
          <w:szCs w:val="22"/>
        </w:rPr>
      </w:pPr>
      <w:r>
        <w:rPr>
          <w:sz w:val="22"/>
        </w:rPr>
        <w:t xml:space="preserve">Най-напред следва да бъдат проверени общите условия за прилагането на ОРГО (12 условия/членове 1—12), а след това И условията по отношение на помощите за широколентови инфраструктури. </w:t>
      </w:r>
    </w:p>
    <w:p w:rsidR="007D461F" w:rsidRPr="00ED6412" w:rsidRDefault="007D461F" w:rsidP="00ED6412">
      <w:pPr>
        <w:rPr>
          <w:sz w:val="22"/>
          <w:szCs w:val="22"/>
        </w:rPr>
      </w:pPr>
    </w:p>
    <w:p w:rsidR="007D461F" w:rsidRPr="00ED6412" w:rsidRDefault="007D461F" w:rsidP="00ED6412">
      <w:pPr>
        <w:jc w:val="center"/>
        <w:rPr>
          <w:b/>
          <w:sz w:val="22"/>
          <w:szCs w:val="22"/>
          <w:u w:val="single"/>
        </w:rPr>
      </w:pPr>
      <w:r>
        <w:rPr>
          <w:b/>
          <w:sz w:val="22"/>
          <w:u w:val="single"/>
        </w:rPr>
        <w:t>А. Общи условия за прилагане</w:t>
      </w:r>
    </w:p>
    <w:p w:rsidR="007D461F" w:rsidRPr="00ED6412" w:rsidRDefault="007D461F" w:rsidP="00ED6412">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gridCol w:w="5812"/>
      </w:tblGrid>
      <w:tr w:rsidR="000E10AB" w:rsidRPr="00ED6412" w:rsidTr="00ED6412">
        <w:trPr>
          <w:trHeight w:val="145"/>
        </w:trPr>
        <w:tc>
          <w:tcPr>
            <w:tcW w:w="8800" w:type="dxa"/>
            <w:tcBorders>
              <w:bottom w:val="single" w:sz="4" w:space="0" w:color="auto"/>
            </w:tcBorders>
            <w:shd w:val="clear" w:color="auto" w:fill="333399"/>
          </w:tcPr>
          <w:p w:rsidR="000E10AB" w:rsidRPr="00ED6412" w:rsidRDefault="00593387" w:rsidP="00ED6412">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5812" w:type="dxa"/>
            <w:shd w:val="clear" w:color="auto" w:fill="333399"/>
          </w:tcPr>
          <w:p w:rsidR="000E10AB" w:rsidRPr="00ED6412" w:rsidRDefault="000E10AB" w:rsidP="00ED6412">
            <w:pPr>
              <w:jc w:val="center"/>
              <w:rPr>
                <w:b/>
                <w:smallCaps/>
                <w:color w:val="FFFFFF"/>
                <w:sz w:val="22"/>
                <w:szCs w:val="22"/>
              </w:rPr>
            </w:pPr>
            <w:r>
              <w:rPr>
                <w:b/>
                <w:smallCaps/>
                <w:color w:val="FFFFFF"/>
                <w:sz w:val="22"/>
              </w:rPr>
              <w:t>Проверка на съответствието (OK?)</w:t>
            </w:r>
          </w:p>
        </w:tc>
      </w:tr>
      <w:tr w:rsidR="000E10AB" w:rsidRPr="00ED6412" w:rsidTr="00ED6412">
        <w:trPr>
          <w:trHeight w:val="145"/>
        </w:trPr>
        <w:tc>
          <w:tcPr>
            <w:tcW w:w="8800" w:type="dxa"/>
            <w:shd w:val="clear" w:color="auto" w:fill="D9D9D9"/>
          </w:tcPr>
          <w:p w:rsidR="000E10AB" w:rsidRPr="00ED6412" w:rsidRDefault="000E10AB" w:rsidP="00ED6412">
            <w:pPr>
              <w:rPr>
                <w:b/>
                <w:sz w:val="22"/>
                <w:szCs w:val="22"/>
              </w:rPr>
            </w:pPr>
            <w:r>
              <w:rPr>
                <w:b/>
                <w:sz w:val="22"/>
              </w:rPr>
              <w:t>Член 1 — Изключване на някои дейности (параграф 2)</w:t>
            </w:r>
          </w:p>
        </w:tc>
        <w:tc>
          <w:tcPr>
            <w:tcW w:w="5812" w:type="dxa"/>
            <w:vMerge w:val="restart"/>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tcBorders>
              <w:bottom w:val="single" w:sz="4" w:space="0" w:color="auto"/>
            </w:tcBorders>
            <w:shd w:val="clear" w:color="auto" w:fill="auto"/>
          </w:tcPr>
          <w:p w:rsidR="000E10AB" w:rsidRPr="00ED6412" w:rsidRDefault="000E10AB" w:rsidP="00ED6412">
            <w:pPr>
              <w:jc w:val="both"/>
              <w:rPr>
                <w:sz w:val="22"/>
                <w:szCs w:val="22"/>
              </w:rPr>
            </w:pPr>
            <w:r>
              <w:rPr>
                <w:b/>
                <w:sz w:val="22"/>
                <w:u w:val="single"/>
              </w:rPr>
              <w:t>Не</w:t>
            </w:r>
            <w:r>
              <w:rPr>
                <w:sz w:val="22"/>
              </w:rPr>
              <w:t xml:space="preserve"> се прилага за:</w:t>
            </w:r>
          </w:p>
          <w:p w:rsidR="000E10AB" w:rsidRPr="00ED6412" w:rsidRDefault="000E10AB" w:rsidP="00ED6412">
            <w:pPr>
              <w:numPr>
                <w:ilvl w:val="0"/>
                <w:numId w:val="1"/>
              </w:numPr>
              <w:tabs>
                <w:tab w:val="clear" w:pos="720"/>
                <w:tab w:val="num" w:pos="328"/>
              </w:tabs>
              <w:ind w:left="328" w:hanging="283"/>
              <w:jc w:val="both"/>
              <w:rPr>
                <w:sz w:val="22"/>
                <w:szCs w:val="22"/>
              </w:rPr>
            </w:pPr>
            <w:r>
              <w:rPr>
                <w:sz w:val="22"/>
              </w:rPr>
              <w:t xml:space="preserve">схеми за помощи за широколентови инфраструктури, ако средният годишен бюджет за държавната помощ надхвърля 150 милиона евро, след изтичане на шест месеца от тяхното влизане в сила (този регламент може да продължи да се прилага за по-дълъг период от време за всяка такава схема за помощ, след като се разгледа съответният план за оценка, изпратен от държавата членка на Комисията, в срок от 20 работни дни от влизането на схемата в сила); </w:t>
            </w:r>
          </w:p>
          <w:p w:rsidR="000E10AB" w:rsidRPr="00ED6412" w:rsidRDefault="000E10AB" w:rsidP="00ED6412">
            <w:pPr>
              <w:numPr>
                <w:ilvl w:val="0"/>
                <w:numId w:val="1"/>
              </w:numPr>
              <w:tabs>
                <w:tab w:val="clear" w:pos="720"/>
                <w:tab w:val="num" w:pos="328"/>
              </w:tabs>
              <w:ind w:left="328" w:hanging="283"/>
              <w:jc w:val="both"/>
              <w:rPr>
                <w:sz w:val="22"/>
                <w:szCs w:val="22"/>
              </w:rPr>
            </w:pPr>
            <w:r>
              <w:rPr>
                <w:sz w:val="22"/>
              </w:rPr>
              <w:t>всички изменения на схемите, посочени по-горе, с изключение на измененията, които не могат да повлияят на съвместимостта на схемата за помощ по смисъла на настоящия регламент или които не могат съществено да повлияят на съдържанието на одобрения план за оценка;</w:t>
            </w:r>
          </w:p>
          <w:p w:rsidR="000E10AB" w:rsidRPr="00ED6412" w:rsidRDefault="000E10AB" w:rsidP="00ED6412">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ED6412" w:rsidRDefault="000E10AB" w:rsidP="00ED6412">
            <w:pPr>
              <w:numPr>
                <w:ilvl w:val="0"/>
                <w:numId w:val="1"/>
              </w:numPr>
              <w:tabs>
                <w:tab w:val="clear" w:pos="720"/>
                <w:tab w:val="num" w:pos="328"/>
              </w:tabs>
              <w:ind w:left="328" w:hanging="283"/>
              <w:jc w:val="both"/>
              <w:rPr>
                <w:sz w:val="22"/>
                <w:szCs w:val="22"/>
              </w:rPr>
            </w:pPr>
            <w:r>
              <w:rPr>
                <w:sz w:val="22"/>
              </w:rPr>
              <w:t>помощи, обвързани с условието за използване на местни за сметка на вносни стоки.</w:t>
            </w:r>
          </w:p>
        </w:tc>
        <w:tc>
          <w:tcPr>
            <w:tcW w:w="5812" w:type="dxa"/>
            <w:vMerge/>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shd w:val="clear" w:color="auto" w:fill="D9D9D9"/>
          </w:tcPr>
          <w:p w:rsidR="000E10AB" w:rsidRPr="00ED6412" w:rsidRDefault="000E10AB" w:rsidP="00ED6412">
            <w:pPr>
              <w:jc w:val="both"/>
              <w:rPr>
                <w:b/>
                <w:sz w:val="22"/>
                <w:szCs w:val="22"/>
              </w:rPr>
            </w:pPr>
            <w:r>
              <w:rPr>
                <w:b/>
                <w:sz w:val="22"/>
              </w:rPr>
              <w:t>Член 1 — Изключване на някои сектори (параграф 3)</w:t>
            </w:r>
          </w:p>
        </w:tc>
        <w:tc>
          <w:tcPr>
            <w:tcW w:w="5812" w:type="dxa"/>
            <w:vMerge w:val="restart"/>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tcBorders>
              <w:bottom w:val="single" w:sz="4" w:space="0" w:color="auto"/>
            </w:tcBorders>
            <w:shd w:val="clear" w:color="auto" w:fill="auto"/>
          </w:tcPr>
          <w:p w:rsidR="00846CD1" w:rsidRPr="00ED6412" w:rsidRDefault="00846CD1" w:rsidP="00ED6412">
            <w:pPr>
              <w:numPr>
                <w:ilvl w:val="0"/>
                <w:numId w:val="2"/>
              </w:numPr>
              <w:tabs>
                <w:tab w:val="clear" w:pos="720"/>
                <w:tab w:val="num" w:pos="328"/>
              </w:tabs>
              <w:ind w:left="328" w:hanging="283"/>
              <w:jc w:val="both"/>
              <w:rPr>
                <w:color w:val="FF0000"/>
                <w:sz w:val="22"/>
                <w:szCs w:val="22"/>
              </w:rPr>
            </w:pPr>
            <w:r>
              <w:rPr>
                <w:sz w:val="22"/>
              </w:rPr>
              <w:t xml:space="preserve">Риболов и аквакултури* (съгласно Регламент (ЕС) № 1379/2013); </w:t>
            </w:r>
          </w:p>
          <w:p w:rsidR="00846CD1" w:rsidRPr="00ED6412" w:rsidRDefault="00846CD1" w:rsidP="00ED6412">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p>
          <w:p w:rsidR="00846CD1" w:rsidRPr="00ED6412" w:rsidRDefault="00846CD1" w:rsidP="00ED6412">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Pr>
                <w:color w:val="FF0000"/>
                <w:sz w:val="22"/>
              </w:rPr>
              <w:t>ако размерът на помощта е определен въз основа на цената или количеството на такива продукти, закупени от първични производители или предлагани на пазара от съответните предприятия</w:t>
            </w:r>
            <w:r>
              <w:rPr>
                <w:sz w:val="22"/>
              </w:rPr>
              <w:t>;</w:t>
            </w:r>
            <w:r>
              <w:rPr>
                <w:color w:val="FF0000"/>
                <w:sz w:val="22"/>
              </w:rPr>
              <w:t xml:space="preserve"> или когато помощта е обвързана със задължението да бъде прехвърлена частично или изцяло на първичните производители;</w:t>
            </w:r>
          </w:p>
          <w:p w:rsidR="00846CD1" w:rsidRPr="00ED6412" w:rsidRDefault="00846CD1" w:rsidP="00ED6412">
            <w:pPr>
              <w:numPr>
                <w:ilvl w:val="0"/>
                <w:numId w:val="2"/>
              </w:numPr>
              <w:tabs>
                <w:tab w:val="clear" w:pos="720"/>
                <w:tab w:val="num" w:pos="328"/>
              </w:tabs>
              <w:ind w:left="328" w:hanging="283"/>
              <w:jc w:val="both"/>
              <w:rPr>
                <w:sz w:val="22"/>
                <w:szCs w:val="22"/>
              </w:rPr>
            </w:pPr>
            <w:r>
              <w:rPr>
                <w:sz w:val="22"/>
              </w:rPr>
              <w:t xml:space="preserve">Помощи за улесняване на закриването на неконкурентоспособни въглищни мини </w:t>
            </w:r>
            <w:r>
              <w:rPr>
                <w:sz w:val="22"/>
              </w:rPr>
              <w:lastRenderedPageBreak/>
              <w:t>(Решение 2010/787/ЕС на Съвета);</w:t>
            </w:r>
          </w:p>
          <w:p w:rsidR="000E10AB" w:rsidRPr="00ED6412" w:rsidRDefault="00846CD1" w:rsidP="00ED6412">
            <w:pPr>
              <w:tabs>
                <w:tab w:val="num" w:pos="328"/>
              </w:tabs>
              <w:ind w:left="328"/>
              <w:jc w:val="both"/>
              <w:rPr>
                <w:sz w:val="22"/>
                <w:szCs w:val="22"/>
              </w:rPr>
            </w:pPr>
            <w:r>
              <w:rPr>
                <w:sz w:val="22"/>
              </w:rPr>
              <w:t xml:space="preserve">* </w:t>
            </w:r>
            <w:r>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p>
        </w:tc>
        <w:tc>
          <w:tcPr>
            <w:tcW w:w="5812" w:type="dxa"/>
            <w:vMerge/>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shd w:val="clear" w:color="auto" w:fill="D9D9D9"/>
          </w:tcPr>
          <w:p w:rsidR="000E10AB" w:rsidRPr="008B62F4" w:rsidRDefault="000E10AB" w:rsidP="00ED6412">
            <w:pPr>
              <w:jc w:val="both"/>
              <w:rPr>
                <w:rFonts w:ascii="Times New Roman Bold" w:hAnsi="Times New Roman Bold"/>
                <w:b/>
                <w:spacing w:val="-4"/>
                <w:sz w:val="22"/>
                <w:szCs w:val="22"/>
              </w:rPr>
            </w:pPr>
            <w:r w:rsidRPr="008B62F4">
              <w:rPr>
                <w:rFonts w:ascii="Times New Roman Bold" w:hAnsi="Times New Roman Bold"/>
                <w:b/>
                <w:spacing w:val="-4"/>
                <w:sz w:val="22"/>
              </w:rPr>
              <w:lastRenderedPageBreak/>
              <w:t>Член 1 — Изключване на дружествата, засегнати от правилото Deggendorf (параграф 4)</w:t>
            </w:r>
          </w:p>
        </w:tc>
        <w:tc>
          <w:tcPr>
            <w:tcW w:w="5812" w:type="dxa"/>
            <w:vMerge w:val="restart"/>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tcBorders>
              <w:bottom w:val="single" w:sz="4" w:space="0" w:color="auto"/>
            </w:tcBorders>
            <w:shd w:val="clear" w:color="auto" w:fill="auto"/>
          </w:tcPr>
          <w:p w:rsidR="000E10AB" w:rsidRPr="00ED6412" w:rsidRDefault="000E10AB" w:rsidP="00F464CF">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плащането на индивидуална помощ</w:t>
            </w:r>
            <w:r w:rsidR="00883D14">
              <w:rPr>
                <w:sz w:val="22"/>
              </w:rPr>
              <w:t xml:space="preserve"> </w:t>
            </w:r>
            <w:r>
              <w:rPr>
                <w:sz w:val="22"/>
              </w:rPr>
              <w:t>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883D14">
              <w:rPr>
                <w:sz w:val="22"/>
              </w:rPr>
              <w:t xml:space="preserve">, и </w:t>
            </w:r>
            <w:r w:rsidR="00883D14">
              <w:rPr>
                <w:b/>
                <w:sz w:val="22"/>
              </w:rPr>
              <w:t>не</w:t>
            </w:r>
            <w:r w:rsidR="00883D14">
              <w:rPr>
                <w:sz w:val="22"/>
              </w:rPr>
              <w:t xml:space="preserve"> се прилага по отношение на </w:t>
            </w:r>
            <w:r w:rsidR="00883D14">
              <w:rPr>
                <w:i/>
                <w:sz w:val="22"/>
              </w:rPr>
              <w:t>ad hoc</w:t>
            </w:r>
            <w:r w:rsidR="00883D14">
              <w:rPr>
                <w:sz w:val="22"/>
              </w:rPr>
              <w:t xml:space="preserve"> помощ</w:t>
            </w:r>
            <w:r w:rsidR="00F464CF">
              <w:rPr>
                <w:sz w:val="22"/>
              </w:rPr>
              <w:t>и</w:t>
            </w:r>
            <w:r w:rsidR="00883D14">
              <w:rPr>
                <w:sz w:val="22"/>
              </w:rPr>
              <w:t xml:space="preserve"> в полза на так</w:t>
            </w:r>
            <w:r w:rsidR="00F464CF">
              <w:rPr>
                <w:sz w:val="22"/>
              </w:rPr>
              <w:t>и</w:t>
            </w:r>
            <w:r w:rsidR="00883D14">
              <w:rPr>
                <w:sz w:val="22"/>
              </w:rPr>
              <w:t>ва предприяти</w:t>
            </w:r>
            <w:r w:rsidR="00F464CF">
              <w:rPr>
                <w:sz w:val="22"/>
              </w:rPr>
              <w:t>я</w:t>
            </w:r>
            <w:r>
              <w:rPr>
                <w:sz w:val="22"/>
              </w:rPr>
              <w:t xml:space="preserve">. </w:t>
            </w:r>
          </w:p>
        </w:tc>
        <w:tc>
          <w:tcPr>
            <w:tcW w:w="5812" w:type="dxa"/>
            <w:vMerge/>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shd w:val="clear" w:color="auto" w:fill="D9D9D9"/>
          </w:tcPr>
          <w:p w:rsidR="000E10AB" w:rsidRPr="00ED6412" w:rsidRDefault="000E10AB" w:rsidP="00ED6412">
            <w:pPr>
              <w:rPr>
                <w:b/>
                <w:sz w:val="22"/>
                <w:szCs w:val="22"/>
              </w:rPr>
            </w:pPr>
            <w:r>
              <w:rPr>
                <w:b/>
                <w:sz w:val="22"/>
              </w:rPr>
              <w:t>Член 1 — Изключване на дружествата в затруднено положение (параграф 4)</w:t>
            </w:r>
          </w:p>
        </w:tc>
        <w:tc>
          <w:tcPr>
            <w:tcW w:w="5812" w:type="dxa"/>
            <w:vMerge w:val="restart"/>
            <w:shd w:val="clear" w:color="auto" w:fill="auto"/>
          </w:tcPr>
          <w:p w:rsidR="000E10AB" w:rsidRPr="00ED6412" w:rsidRDefault="000E10AB" w:rsidP="00ED6412">
            <w:pPr>
              <w:rPr>
                <w:sz w:val="22"/>
                <w:szCs w:val="22"/>
              </w:rPr>
            </w:pPr>
          </w:p>
        </w:tc>
      </w:tr>
      <w:tr w:rsidR="000E10AB" w:rsidRPr="00ED6412" w:rsidTr="00ED6412">
        <w:trPr>
          <w:trHeight w:val="489"/>
        </w:trPr>
        <w:tc>
          <w:tcPr>
            <w:tcW w:w="8800" w:type="dxa"/>
            <w:tcBorders>
              <w:bottom w:val="single" w:sz="4" w:space="0" w:color="auto"/>
            </w:tcBorders>
            <w:shd w:val="clear" w:color="auto" w:fill="auto"/>
          </w:tcPr>
          <w:p w:rsidR="000E10AB" w:rsidRPr="00ED6412" w:rsidRDefault="000E10AB" w:rsidP="003328CD">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5812" w:type="dxa"/>
            <w:vMerge/>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shd w:val="clear" w:color="auto" w:fill="D9D9D9"/>
          </w:tcPr>
          <w:p w:rsidR="000E10AB" w:rsidRPr="00ED6412" w:rsidRDefault="000E10AB" w:rsidP="00F45150">
            <w:pPr>
              <w:jc w:val="both"/>
              <w:rPr>
                <w:b/>
                <w:sz w:val="22"/>
                <w:szCs w:val="22"/>
              </w:rPr>
            </w:pPr>
            <w:r>
              <w:rPr>
                <w:b/>
                <w:sz w:val="22"/>
              </w:rPr>
              <w:t xml:space="preserve">Член 1 — Изключване на </w:t>
            </w:r>
            <w:r w:rsidR="00F45150">
              <w:rPr>
                <w:b/>
                <w:sz w:val="22"/>
              </w:rPr>
              <w:t>мерките</w:t>
            </w:r>
            <w:r>
              <w:rPr>
                <w:b/>
                <w:sz w:val="22"/>
              </w:rPr>
              <w:t xml:space="preserve"> за помощ, които нарушават законодателството на Съюза (параграф 5)</w:t>
            </w:r>
          </w:p>
        </w:tc>
        <w:tc>
          <w:tcPr>
            <w:tcW w:w="5812" w:type="dxa"/>
            <w:vMerge w:val="restart"/>
            <w:shd w:val="clear" w:color="auto" w:fill="auto"/>
          </w:tcPr>
          <w:p w:rsidR="000E10AB" w:rsidRPr="00ED6412" w:rsidRDefault="000E10AB" w:rsidP="00ED6412">
            <w:pPr>
              <w:rPr>
                <w:sz w:val="22"/>
                <w:szCs w:val="22"/>
              </w:rPr>
            </w:pPr>
          </w:p>
        </w:tc>
      </w:tr>
      <w:tr w:rsidR="000E10AB" w:rsidRPr="00ED6412" w:rsidTr="00ED6412">
        <w:trPr>
          <w:trHeight w:val="145"/>
        </w:trPr>
        <w:tc>
          <w:tcPr>
            <w:tcW w:w="8800" w:type="dxa"/>
            <w:tcBorders>
              <w:bottom w:val="single" w:sz="4" w:space="0" w:color="auto"/>
            </w:tcBorders>
            <w:shd w:val="clear" w:color="auto" w:fill="auto"/>
          </w:tcPr>
          <w:p w:rsidR="000E10AB" w:rsidRPr="00ED6412" w:rsidRDefault="001F52DD" w:rsidP="00ED6412">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0E10AB" w:rsidRPr="00ED6412" w:rsidRDefault="000E10AB" w:rsidP="00ED6412">
            <w:pPr>
              <w:autoSpaceDE w:val="0"/>
              <w:autoSpaceDN w:val="0"/>
              <w:adjustRightInd w:val="0"/>
              <w:jc w:val="both"/>
              <w:rPr>
                <w:sz w:val="22"/>
                <w:szCs w:val="22"/>
              </w:rPr>
            </w:pPr>
            <w:r>
              <w:t>а) задължение седалището или основното място на установяване на бенефициера да се намира в съответната държава членка.</w:t>
            </w:r>
            <w:r>
              <w:rPr>
                <w:sz w:val="22"/>
              </w:rPr>
              <w:t xml:space="preserve">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ED6412" w:rsidRDefault="000E10AB" w:rsidP="00ED6412">
            <w:pPr>
              <w:autoSpaceDE w:val="0"/>
              <w:autoSpaceDN w:val="0"/>
              <w:adjustRightInd w:val="0"/>
              <w:jc w:val="both"/>
              <w:rPr>
                <w:sz w:val="22"/>
                <w:szCs w:val="22"/>
              </w:rPr>
            </w:pPr>
            <w:r>
              <w:rPr>
                <w:sz w:val="22"/>
              </w:rPr>
              <w:t>б) задължение бенефициерът да използва стоки и услуги, произведени на територията на държавата членка;</w:t>
            </w:r>
          </w:p>
          <w:p w:rsidR="000E10AB" w:rsidRPr="00ED6412" w:rsidRDefault="000E10AB" w:rsidP="00ED6412">
            <w:pPr>
              <w:autoSpaceDE w:val="0"/>
              <w:autoSpaceDN w:val="0"/>
              <w:adjustRightInd w:val="0"/>
              <w:jc w:val="both"/>
              <w:rPr>
                <w:sz w:val="22"/>
                <w:szCs w:val="22"/>
              </w:rPr>
            </w:pPr>
            <w:r>
              <w:rPr>
                <w:sz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5812" w:type="dxa"/>
            <w:vMerge/>
            <w:shd w:val="clear" w:color="auto" w:fill="auto"/>
          </w:tcPr>
          <w:p w:rsidR="000E10AB" w:rsidRPr="00ED6412" w:rsidRDefault="000E10AB" w:rsidP="00ED6412">
            <w:pPr>
              <w:rPr>
                <w:sz w:val="22"/>
                <w:szCs w:val="22"/>
              </w:rPr>
            </w:pPr>
          </w:p>
        </w:tc>
      </w:tr>
      <w:tr w:rsidR="000E10AB" w:rsidRPr="00ED6412" w:rsidTr="004F7598">
        <w:trPr>
          <w:trHeight w:val="271"/>
        </w:trPr>
        <w:tc>
          <w:tcPr>
            <w:tcW w:w="8800" w:type="dxa"/>
            <w:shd w:val="clear" w:color="auto" w:fill="D9D9D9"/>
          </w:tcPr>
          <w:p w:rsidR="000E10AB" w:rsidRPr="00ED6412" w:rsidRDefault="000E10AB" w:rsidP="00ED6412">
            <w:pPr>
              <w:jc w:val="both"/>
              <w:rPr>
                <w:b/>
                <w:sz w:val="22"/>
                <w:szCs w:val="22"/>
              </w:rPr>
            </w:pPr>
            <w:r>
              <w:rPr>
                <w:b/>
                <w:sz w:val="22"/>
              </w:rPr>
              <w:t>Член 4 — Индивидуални прагове за уведомяване</w:t>
            </w:r>
          </w:p>
        </w:tc>
        <w:tc>
          <w:tcPr>
            <w:tcW w:w="5812" w:type="dxa"/>
            <w:shd w:val="clear" w:color="auto" w:fill="D9D9D9"/>
          </w:tcPr>
          <w:p w:rsidR="000E10AB" w:rsidRPr="00ED6412" w:rsidRDefault="000E10AB" w:rsidP="00ED6412">
            <w:pPr>
              <w:rPr>
                <w:sz w:val="22"/>
                <w:szCs w:val="22"/>
              </w:rPr>
            </w:pPr>
          </w:p>
        </w:tc>
      </w:tr>
      <w:tr w:rsidR="000E10AB" w:rsidRPr="00ED6412" w:rsidTr="00ED6412">
        <w:trPr>
          <w:trHeight w:val="271"/>
        </w:trPr>
        <w:tc>
          <w:tcPr>
            <w:tcW w:w="8800" w:type="dxa"/>
            <w:tcBorders>
              <w:bottom w:val="single" w:sz="4" w:space="0" w:color="auto"/>
            </w:tcBorders>
            <w:shd w:val="clear" w:color="auto" w:fill="auto"/>
          </w:tcPr>
          <w:p w:rsidR="004528DD" w:rsidRPr="00ED6412" w:rsidRDefault="000E10AB" w:rsidP="00ED6412">
            <w:pPr>
              <w:rPr>
                <w:sz w:val="22"/>
                <w:szCs w:val="22"/>
              </w:rPr>
            </w:pPr>
            <w:r>
              <w:rPr>
                <w:b/>
                <w:sz w:val="22"/>
              </w:rPr>
              <w:t>Не</w:t>
            </w:r>
            <w:r>
              <w:rPr>
                <w:sz w:val="22"/>
              </w:rPr>
              <w:t xml:space="preserve"> се прилага за помощи, които надхвърлят:</w:t>
            </w:r>
          </w:p>
          <w:p w:rsidR="000E10AB" w:rsidRPr="00ED6412" w:rsidRDefault="001F52DD" w:rsidP="004F7598">
            <w:pPr>
              <w:numPr>
                <w:ilvl w:val="0"/>
                <w:numId w:val="12"/>
              </w:numPr>
              <w:autoSpaceDE w:val="0"/>
              <w:autoSpaceDN w:val="0"/>
              <w:adjustRightInd w:val="0"/>
              <w:jc w:val="both"/>
              <w:rPr>
                <w:sz w:val="22"/>
                <w:szCs w:val="22"/>
              </w:rPr>
            </w:pPr>
            <w:r>
              <w:rPr>
                <w:sz w:val="22"/>
              </w:rPr>
              <w:t>за помощи за широколентови инфраструктури: 70 милиона евро общи разходи за проект.</w:t>
            </w:r>
          </w:p>
          <w:p w:rsidR="00023691" w:rsidRPr="00ED6412" w:rsidRDefault="00023691" w:rsidP="00ED6412">
            <w:pPr>
              <w:autoSpaceDE w:val="0"/>
              <w:autoSpaceDN w:val="0"/>
              <w:adjustRightInd w:val="0"/>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или </w:t>
            </w:r>
            <w:r>
              <w:rPr>
                <w:sz w:val="22"/>
              </w:rPr>
              <w:lastRenderedPageBreak/>
              <w:t>проектите за помощ.</w:t>
            </w:r>
          </w:p>
        </w:tc>
        <w:tc>
          <w:tcPr>
            <w:tcW w:w="5812" w:type="dxa"/>
            <w:shd w:val="clear" w:color="auto" w:fill="auto"/>
          </w:tcPr>
          <w:p w:rsidR="000E10AB" w:rsidRPr="00ED6412" w:rsidRDefault="000E10AB" w:rsidP="00ED6412">
            <w:pPr>
              <w:rPr>
                <w:sz w:val="22"/>
                <w:szCs w:val="22"/>
              </w:rPr>
            </w:pPr>
          </w:p>
        </w:tc>
      </w:tr>
      <w:tr w:rsidR="000E10AB" w:rsidRPr="00ED6412" w:rsidTr="004F7598">
        <w:trPr>
          <w:trHeight w:val="344"/>
        </w:trPr>
        <w:tc>
          <w:tcPr>
            <w:tcW w:w="8800" w:type="dxa"/>
            <w:shd w:val="clear" w:color="auto" w:fill="D9D9D9"/>
          </w:tcPr>
          <w:p w:rsidR="000E10AB" w:rsidRPr="00ED6412" w:rsidRDefault="000E10AB" w:rsidP="00ED6412">
            <w:pPr>
              <w:jc w:val="both"/>
              <w:rPr>
                <w:b/>
                <w:sz w:val="22"/>
                <w:szCs w:val="22"/>
              </w:rPr>
            </w:pPr>
            <w:r>
              <w:rPr>
                <w:b/>
                <w:sz w:val="22"/>
              </w:rPr>
              <w:lastRenderedPageBreak/>
              <w:t xml:space="preserve">Член 5 — Прозрачност на помощта </w:t>
            </w:r>
          </w:p>
        </w:tc>
        <w:tc>
          <w:tcPr>
            <w:tcW w:w="5812" w:type="dxa"/>
            <w:shd w:val="clear" w:color="auto" w:fill="D9D9D9"/>
          </w:tcPr>
          <w:p w:rsidR="000E10AB" w:rsidRPr="00ED6412" w:rsidRDefault="000E10AB" w:rsidP="00ED6412">
            <w:pPr>
              <w:rPr>
                <w:sz w:val="22"/>
                <w:szCs w:val="22"/>
              </w:rPr>
            </w:pPr>
          </w:p>
        </w:tc>
      </w:tr>
      <w:tr w:rsidR="000E10AB" w:rsidRPr="00ED6412" w:rsidTr="00ED6412">
        <w:trPr>
          <w:trHeight w:val="344"/>
        </w:trPr>
        <w:tc>
          <w:tcPr>
            <w:tcW w:w="8800" w:type="dxa"/>
            <w:shd w:val="clear" w:color="auto" w:fill="auto"/>
          </w:tcPr>
          <w:p w:rsidR="000E10AB" w:rsidRPr="00ED6412" w:rsidRDefault="000E10AB" w:rsidP="00ED6412">
            <w:pPr>
              <w:jc w:val="both"/>
              <w:rPr>
                <w:sz w:val="22"/>
                <w:szCs w:val="22"/>
              </w:rPr>
            </w:pPr>
            <w:r>
              <w:rPr>
                <w:sz w:val="22"/>
              </w:rPr>
              <w:t>Прилага се за прозрачни помощи, като за прозрачни се считат:</w:t>
            </w:r>
          </w:p>
          <w:p w:rsidR="000E10AB" w:rsidRPr="00ED6412" w:rsidRDefault="000E10AB" w:rsidP="004F7598">
            <w:pPr>
              <w:numPr>
                <w:ilvl w:val="0"/>
                <w:numId w:val="5"/>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ED6412" w:rsidRDefault="000E10AB" w:rsidP="00ED6412">
            <w:pPr>
              <w:numPr>
                <w:ilvl w:val="0"/>
                <w:numId w:val="3"/>
              </w:numPr>
              <w:tabs>
                <w:tab w:val="clear" w:pos="720"/>
                <w:tab w:val="num" w:pos="328"/>
              </w:tabs>
              <w:ind w:left="328" w:hanging="283"/>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ED6412" w:rsidRDefault="000E10AB" w:rsidP="00ED6412">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ED6412" w:rsidRDefault="000E10AB" w:rsidP="00ED6412">
            <w:pPr>
              <w:tabs>
                <w:tab w:val="num" w:pos="47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0E10AB" w:rsidRPr="00ED6412" w:rsidRDefault="000E10AB" w:rsidP="00ED6412">
            <w:pPr>
              <w:tabs>
                <w:tab w:val="num" w:pos="328"/>
              </w:tabs>
              <w:ind w:left="328" w:hanging="283"/>
              <w:jc w:val="both"/>
              <w:rPr>
                <w:sz w:val="22"/>
                <w:szCs w:val="22"/>
              </w:rPr>
            </w:pPr>
            <w:r>
              <w:rPr>
                <w:sz w:val="22"/>
              </w:rPr>
              <w:t xml:space="preserve">или </w:t>
            </w:r>
          </w:p>
          <w:p w:rsidR="000E10AB" w:rsidRPr="00ED6412" w:rsidRDefault="000E10AB" w:rsidP="00ED6412">
            <w:pPr>
              <w:tabs>
                <w:tab w:val="num" w:pos="328"/>
              </w:tabs>
              <w:ind w:left="328"/>
              <w:jc w:val="both"/>
              <w:rPr>
                <w:sz w:val="22"/>
                <w:szCs w:val="22"/>
              </w:rPr>
            </w:pPr>
            <w:r>
              <w:rPr>
                <w:sz w:val="22"/>
              </w:rPr>
              <w:t>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ED6412" w:rsidRDefault="000E10AB" w:rsidP="00ED6412">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0E10AB" w:rsidRPr="00ED6412" w:rsidRDefault="000E10AB" w:rsidP="00ED6412">
            <w:pPr>
              <w:numPr>
                <w:ilvl w:val="0"/>
                <w:numId w:val="3"/>
              </w:numPr>
              <w:tabs>
                <w:tab w:val="clear" w:pos="720"/>
                <w:tab w:val="num" w:pos="328"/>
              </w:tabs>
              <w:autoSpaceDE w:val="0"/>
              <w:autoSpaceDN w:val="0"/>
              <w:adjustRightInd w:val="0"/>
              <w:ind w:left="328" w:hanging="283"/>
              <w:jc w:val="both"/>
              <w:rPr>
                <w:b/>
                <w:sz w:val="22"/>
                <w:szCs w:val="22"/>
              </w:rPr>
            </w:pPr>
            <w:r>
              <w:rPr>
                <w:sz w:val="22"/>
              </w:rPr>
              <w:t>възстановяемите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5812" w:type="dxa"/>
            <w:shd w:val="clear" w:color="auto" w:fill="auto"/>
          </w:tcPr>
          <w:p w:rsidR="000E10AB" w:rsidRPr="00ED6412" w:rsidRDefault="000E10AB" w:rsidP="00ED6412">
            <w:pPr>
              <w:rPr>
                <w:sz w:val="22"/>
                <w:szCs w:val="22"/>
              </w:rPr>
            </w:pPr>
          </w:p>
        </w:tc>
      </w:tr>
      <w:tr w:rsidR="000E10AB" w:rsidRPr="00ED6412" w:rsidTr="002102A6">
        <w:trPr>
          <w:trHeight w:val="271"/>
        </w:trPr>
        <w:tc>
          <w:tcPr>
            <w:tcW w:w="8800" w:type="dxa"/>
            <w:shd w:val="clear" w:color="auto" w:fill="D9D9D9"/>
          </w:tcPr>
          <w:p w:rsidR="000E10AB" w:rsidRPr="00ED6412" w:rsidRDefault="000E10AB" w:rsidP="00ED6412">
            <w:pPr>
              <w:rPr>
                <w:b/>
                <w:sz w:val="22"/>
                <w:szCs w:val="22"/>
              </w:rPr>
            </w:pPr>
            <w:r>
              <w:rPr>
                <w:b/>
                <w:sz w:val="22"/>
              </w:rPr>
              <w:t xml:space="preserve">Член 6 — Стимулиращ ефект </w:t>
            </w:r>
          </w:p>
        </w:tc>
        <w:tc>
          <w:tcPr>
            <w:tcW w:w="5812" w:type="dxa"/>
            <w:shd w:val="clear" w:color="auto" w:fill="D9D9D9"/>
          </w:tcPr>
          <w:p w:rsidR="000E10AB" w:rsidRPr="00ED6412" w:rsidRDefault="000E10AB" w:rsidP="00ED6412">
            <w:pPr>
              <w:rPr>
                <w:sz w:val="22"/>
                <w:szCs w:val="22"/>
              </w:rPr>
            </w:pPr>
          </w:p>
        </w:tc>
      </w:tr>
      <w:tr w:rsidR="000E10AB" w:rsidRPr="00ED6412" w:rsidTr="00ED6412">
        <w:trPr>
          <w:trHeight w:val="271"/>
        </w:trPr>
        <w:tc>
          <w:tcPr>
            <w:tcW w:w="8800" w:type="dxa"/>
            <w:tcBorders>
              <w:bottom w:val="single" w:sz="4" w:space="0" w:color="auto"/>
            </w:tcBorders>
            <w:shd w:val="clear" w:color="auto" w:fill="auto"/>
          </w:tcPr>
          <w:p w:rsidR="000E10AB" w:rsidRPr="00ED6412" w:rsidRDefault="000E10AB" w:rsidP="00ED6412">
            <w:pPr>
              <w:rPr>
                <w:sz w:val="22"/>
                <w:szCs w:val="22"/>
              </w:rPr>
            </w:pPr>
            <w:r>
              <w:rPr>
                <w:sz w:val="22"/>
              </w:rPr>
              <w:t>Помощите могат да бъдат освободени от задължението за уведомяване само ако имат стимулиращ ефект:</w:t>
            </w:r>
          </w:p>
          <w:p w:rsidR="000E10AB" w:rsidRPr="00ED6412" w:rsidRDefault="000E10AB" w:rsidP="004F7598">
            <w:pPr>
              <w:numPr>
                <w:ilvl w:val="0"/>
                <w:numId w:val="4"/>
              </w:numPr>
              <w:rPr>
                <w:sz w:val="22"/>
                <w:szCs w:val="22"/>
              </w:rPr>
            </w:pPr>
            <w:r>
              <w:rPr>
                <w:sz w:val="22"/>
              </w:rPr>
              <w:t xml:space="preserve">преди започването на работата или на проекта бенефициерът е подал до съответната държава членка </w:t>
            </w:r>
            <w:r>
              <w:rPr>
                <w:b/>
                <w:sz w:val="22"/>
              </w:rPr>
              <w:t>заявление</w:t>
            </w:r>
            <w:r>
              <w:rPr>
                <w:sz w:val="22"/>
              </w:rPr>
              <w:t xml:space="preserve"> </w:t>
            </w:r>
            <w:r w:rsidRPr="007964F7">
              <w:rPr>
                <w:b/>
                <w:sz w:val="22"/>
              </w:rPr>
              <w:t>за помощ</w:t>
            </w:r>
            <w:r>
              <w:rPr>
                <w:sz w:val="22"/>
              </w:rPr>
              <w:t>, което съдържа поне следната информация:</w:t>
            </w:r>
          </w:p>
          <w:p w:rsidR="000E10AB" w:rsidRPr="00ED6412" w:rsidRDefault="005218F0" w:rsidP="0005205D">
            <w:pPr>
              <w:autoSpaceDE w:val="0"/>
              <w:autoSpaceDN w:val="0"/>
              <w:adjustRightInd w:val="0"/>
              <w:ind w:left="360"/>
              <w:rPr>
                <w:sz w:val="22"/>
                <w:szCs w:val="22"/>
              </w:rPr>
            </w:pPr>
            <w:r>
              <w:rPr>
                <w:sz w:val="22"/>
              </w:rPr>
              <w:t>а)</w:t>
            </w:r>
            <w:r w:rsidRPr="005218F0">
              <w:rPr>
                <w:sz w:val="22"/>
              </w:rPr>
              <w:tab/>
            </w:r>
            <w:r w:rsidR="000E10AB">
              <w:rPr>
                <w:sz w:val="22"/>
              </w:rPr>
              <w:t>наименование и големина на предприятието;</w:t>
            </w:r>
          </w:p>
          <w:p w:rsidR="000E10AB" w:rsidRPr="00ED6412" w:rsidRDefault="005218F0" w:rsidP="0005205D">
            <w:pPr>
              <w:autoSpaceDE w:val="0"/>
              <w:autoSpaceDN w:val="0"/>
              <w:adjustRightInd w:val="0"/>
              <w:ind w:left="360"/>
              <w:rPr>
                <w:sz w:val="22"/>
                <w:szCs w:val="22"/>
              </w:rPr>
            </w:pPr>
            <w:r>
              <w:rPr>
                <w:sz w:val="22"/>
              </w:rPr>
              <w:t>б)</w:t>
            </w:r>
            <w:r w:rsidRPr="005218F0">
              <w:rPr>
                <w:sz w:val="22"/>
              </w:rPr>
              <w:tab/>
            </w:r>
            <w:r w:rsidR="000E10AB">
              <w:rPr>
                <w:sz w:val="22"/>
              </w:rPr>
              <w:t>описание на проекта, включително неговата начална и крайна дата;</w:t>
            </w:r>
          </w:p>
          <w:p w:rsidR="000E10AB" w:rsidRPr="00ED6412" w:rsidRDefault="005218F0" w:rsidP="0005205D">
            <w:pPr>
              <w:autoSpaceDE w:val="0"/>
              <w:autoSpaceDN w:val="0"/>
              <w:adjustRightInd w:val="0"/>
              <w:ind w:left="360"/>
              <w:rPr>
                <w:sz w:val="22"/>
                <w:szCs w:val="22"/>
              </w:rPr>
            </w:pPr>
            <w:r>
              <w:rPr>
                <w:sz w:val="22"/>
              </w:rPr>
              <w:t>в)</w:t>
            </w:r>
            <w:r w:rsidRPr="005218F0">
              <w:rPr>
                <w:sz w:val="22"/>
              </w:rPr>
              <w:tab/>
            </w:r>
            <w:r w:rsidR="000E10AB">
              <w:rPr>
                <w:sz w:val="22"/>
              </w:rPr>
              <w:t>местонахождение на проекта;</w:t>
            </w:r>
          </w:p>
          <w:p w:rsidR="000E10AB" w:rsidRPr="00ED6412" w:rsidRDefault="005218F0" w:rsidP="0005205D">
            <w:pPr>
              <w:autoSpaceDE w:val="0"/>
              <w:autoSpaceDN w:val="0"/>
              <w:adjustRightInd w:val="0"/>
              <w:ind w:left="360"/>
              <w:rPr>
                <w:sz w:val="22"/>
                <w:szCs w:val="22"/>
              </w:rPr>
            </w:pPr>
            <w:r>
              <w:rPr>
                <w:sz w:val="22"/>
              </w:rPr>
              <w:t>г)</w:t>
            </w:r>
            <w:r w:rsidRPr="005218F0">
              <w:rPr>
                <w:sz w:val="22"/>
              </w:rPr>
              <w:tab/>
            </w:r>
            <w:r w:rsidR="000E10AB">
              <w:rPr>
                <w:sz w:val="22"/>
              </w:rPr>
              <w:t>списък с разходите по проекта;</w:t>
            </w:r>
          </w:p>
          <w:p w:rsidR="000E10AB" w:rsidRPr="00ED6412" w:rsidRDefault="005218F0" w:rsidP="0005205D">
            <w:pPr>
              <w:autoSpaceDE w:val="0"/>
              <w:autoSpaceDN w:val="0"/>
              <w:adjustRightInd w:val="0"/>
              <w:ind w:left="360"/>
              <w:jc w:val="both"/>
              <w:rPr>
                <w:sz w:val="22"/>
                <w:szCs w:val="22"/>
              </w:rPr>
            </w:pPr>
            <w:r>
              <w:rPr>
                <w:sz w:val="22"/>
              </w:rPr>
              <w:lastRenderedPageBreak/>
              <w:t>д)</w:t>
            </w:r>
            <w:r w:rsidRPr="005218F0">
              <w:rPr>
                <w:sz w:val="22"/>
              </w:rPr>
              <w:tab/>
            </w:r>
            <w:r w:rsidR="000E10AB">
              <w:rPr>
                <w:sz w:val="22"/>
              </w:rPr>
              <w:t xml:space="preserve">вид на помощта (безвъзмездни средства, заем, гаранция, възстановяем аванс, </w:t>
            </w:r>
            <w:r w:rsidRPr="005218F0">
              <w:rPr>
                <w:sz w:val="22"/>
              </w:rPr>
              <w:tab/>
            </w:r>
            <w:r w:rsidR="000E10AB">
              <w:rPr>
                <w:sz w:val="22"/>
              </w:rPr>
              <w:t xml:space="preserve">вливане на капитал и т.н.) и размер на публичното финансиране, необходимо за </w:t>
            </w:r>
            <w:r w:rsidRPr="005218F0">
              <w:rPr>
                <w:sz w:val="22"/>
              </w:rPr>
              <w:tab/>
            </w:r>
            <w:r w:rsidR="000E10AB">
              <w:rPr>
                <w:sz w:val="22"/>
              </w:rPr>
              <w:t>проекта.</w:t>
            </w:r>
          </w:p>
          <w:p w:rsidR="000E10AB" w:rsidRPr="00ED6412" w:rsidRDefault="000E10AB" w:rsidP="004F7598">
            <w:pPr>
              <w:numPr>
                <w:ilvl w:val="0"/>
                <w:numId w:val="4"/>
              </w:numPr>
              <w:autoSpaceDE w:val="0"/>
              <w:autoSpaceDN w:val="0"/>
              <w:adjustRightInd w:val="0"/>
              <w:jc w:val="both"/>
              <w:rPr>
                <w:sz w:val="22"/>
                <w:szCs w:val="22"/>
              </w:rPr>
            </w:pPr>
            <w:r>
              <w:rPr>
                <w:b/>
                <w:sz w:val="22"/>
              </w:rPr>
              <w:t>помощи ad hoc за големи предприятия</w:t>
            </w:r>
            <w:r>
              <w:rPr>
                <w:sz w:val="22"/>
              </w:rPr>
              <w:t>; освен горното, преди да предостави помощта, държавата членка се е уверила, че с представената от бенефициера документация са доказани едно или повече от следните положения:</w:t>
            </w:r>
          </w:p>
          <w:p w:rsidR="002D1692" w:rsidRPr="00ED6412" w:rsidRDefault="002D1692" w:rsidP="00ED6412">
            <w:pPr>
              <w:autoSpaceDE w:val="0"/>
              <w:autoSpaceDN w:val="0"/>
              <w:adjustRightInd w:val="0"/>
              <w:ind w:left="754" w:hanging="426"/>
              <w:jc w:val="both"/>
              <w:rPr>
                <w:sz w:val="22"/>
                <w:szCs w:val="22"/>
              </w:rPr>
            </w:pPr>
            <w:r>
              <w:rPr>
                <w:sz w:val="22"/>
              </w:rPr>
              <w:t>- съществено нарастване на обхвата на проекта или дейността в резултат на помощта или</w:t>
            </w:r>
          </w:p>
          <w:p w:rsidR="002D1692" w:rsidRPr="00ED6412" w:rsidRDefault="002D1692" w:rsidP="00ED6412">
            <w:pPr>
              <w:autoSpaceDE w:val="0"/>
              <w:autoSpaceDN w:val="0"/>
              <w:adjustRightInd w:val="0"/>
              <w:ind w:left="754" w:hanging="426"/>
              <w:jc w:val="both"/>
              <w:rPr>
                <w:sz w:val="22"/>
                <w:szCs w:val="22"/>
              </w:rPr>
            </w:pPr>
            <w:r>
              <w:rPr>
                <w:sz w:val="22"/>
              </w:rPr>
              <w:t>-  съществено увеличение на общата сума, изразходвана от бенефициера за проекта или дейността, в резултат на помощта, или</w:t>
            </w:r>
          </w:p>
          <w:p w:rsidR="002D1692" w:rsidRPr="00ED6412" w:rsidRDefault="002D1692" w:rsidP="00ED6412">
            <w:pPr>
              <w:autoSpaceDE w:val="0"/>
              <w:autoSpaceDN w:val="0"/>
              <w:adjustRightInd w:val="0"/>
              <w:ind w:left="754" w:hanging="426"/>
              <w:jc w:val="both"/>
              <w:rPr>
                <w:sz w:val="22"/>
                <w:szCs w:val="22"/>
              </w:rPr>
            </w:pPr>
            <w:r>
              <w:rPr>
                <w:sz w:val="22"/>
              </w:rPr>
              <w:t>- съществено нарастване на скоростта на изпълнение на съответния проект или съответната дейност.</w:t>
            </w:r>
          </w:p>
          <w:p w:rsidR="000E10AB" w:rsidRPr="00ED6412" w:rsidRDefault="000E10AB" w:rsidP="00ED6412">
            <w:pPr>
              <w:ind w:left="396"/>
              <w:rPr>
                <w:sz w:val="22"/>
                <w:szCs w:val="22"/>
              </w:rPr>
            </w:pPr>
            <w:r>
              <w:rPr>
                <w:sz w:val="22"/>
                <w:szCs w:val="22"/>
              </w:rPr>
              <w:sym w:font="Wingdings" w:char="F0E0"/>
            </w:r>
            <w:r>
              <w:rPr>
                <w:b/>
                <w:sz w:val="22"/>
              </w:rPr>
              <w:t>Изключения</w:t>
            </w:r>
          </w:p>
          <w:p w:rsidR="000E10AB" w:rsidRPr="00ED6412" w:rsidRDefault="000E10AB" w:rsidP="004F7598">
            <w:pPr>
              <w:numPr>
                <w:ilvl w:val="0"/>
                <w:numId w:val="4"/>
              </w:numPr>
              <w:rPr>
                <w:sz w:val="22"/>
                <w:szCs w:val="22"/>
              </w:rPr>
            </w:pPr>
            <w:r>
              <w:rPr>
                <w:sz w:val="22"/>
              </w:rPr>
              <w:t>данъчни предимства, ако:</w:t>
            </w:r>
          </w:p>
          <w:p w:rsidR="000E10AB" w:rsidRPr="00ED6412" w:rsidRDefault="00D715B3" w:rsidP="0005205D">
            <w:pPr>
              <w:autoSpaceDE w:val="0"/>
              <w:autoSpaceDN w:val="0"/>
              <w:adjustRightInd w:val="0"/>
              <w:ind w:left="360"/>
              <w:jc w:val="both"/>
              <w:rPr>
                <w:sz w:val="22"/>
                <w:szCs w:val="22"/>
              </w:rPr>
            </w:pPr>
            <w:r>
              <w:rPr>
                <w:sz w:val="22"/>
              </w:rPr>
              <w:t>а)</w:t>
            </w:r>
            <w:r w:rsidRPr="00D715B3">
              <w:rPr>
                <w:sz w:val="22"/>
              </w:rPr>
              <w:tab/>
            </w:r>
            <w:r w:rsidR="000E10AB">
              <w:rPr>
                <w:sz w:val="22"/>
              </w:rPr>
              <w:t xml:space="preserve">мярката предвижда право на помощ в съответствие с обективни критерии и без </w:t>
            </w:r>
            <w:r w:rsidRPr="00D715B3">
              <w:rPr>
                <w:sz w:val="22"/>
              </w:rPr>
              <w:tab/>
            </w:r>
            <w:r w:rsidR="000E10AB">
              <w:rPr>
                <w:sz w:val="22"/>
              </w:rPr>
              <w:t>допълнителна преценка по собствено усмотрение от страна на държавата членка; и</w:t>
            </w:r>
          </w:p>
          <w:p w:rsidR="000E10AB" w:rsidRPr="00ED6412" w:rsidRDefault="00D715B3" w:rsidP="0005205D">
            <w:pPr>
              <w:autoSpaceDE w:val="0"/>
              <w:autoSpaceDN w:val="0"/>
              <w:adjustRightInd w:val="0"/>
              <w:ind w:left="360"/>
              <w:jc w:val="both"/>
              <w:rPr>
                <w:sz w:val="22"/>
                <w:szCs w:val="22"/>
              </w:rPr>
            </w:pPr>
            <w:r>
              <w:rPr>
                <w:sz w:val="22"/>
              </w:rPr>
              <w:t>б)</w:t>
            </w:r>
            <w:r w:rsidRPr="00D715B3">
              <w:rPr>
                <w:sz w:val="22"/>
              </w:rPr>
              <w:tab/>
            </w:r>
            <w:r w:rsidR="000E10AB">
              <w:rPr>
                <w:sz w:val="22"/>
              </w:rPr>
              <w:t xml:space="preserve">мярката е приета и е била в сила преди започването на работата по подпомагания </w:t>
            </w:r>
            <w:r w:rsidRPr="00D715B3">
              <w:rPr>
                <w:sz w:val="22"/>
              </w:rPr>
              <w:tab/>
            </w:r>
            <w:r w:rsidR="000E10AB">
              <w:rPr>
                <w:sz w:val="22"/>
              </w:rPr>
              <w:t xml:space="preserve">проект или дейност, освен в случай на последващи фискални схеми, когато </w:t>
            </w:r>
            <w:r w:rsidRPr="00D715B3">
              <w:rPr>
                <w:sz w:val="22"/>
              </w:rPr>
              <w:tab/>
            </w:r>
            <w:r w:rsidR="000E10AB">
              <w:rPr>
                <w:sz w:val="22"/>
              </w:rPr>
              <w:t xml:space="preserve">дейността вече е била включена в предходните схеми под формата на данъчно </w:t>
            </w:r>
            <w:r w:rsidRPr="00D715B3">
              <w:rPr>
                <w:sz w:val="22"/>
              </w:rPr>
              <w:tab/>
            </w:r>
            <w:r w:rsidR="000E10AB">
              <w:rPr>
                <w:sz w:val="22"/>
              </w:rPr>
              <w:t>предимство.</w:t>
            </w:r>
          </w:p>
        </w:tc>
        <w:tc>
          <w:tcPr>
            <w:tcW w:w="5812" w:type="dxa"/>
            <w:shd w:val="clear" w:color="auto" w:fill="auto"/>
          </w:tcPr>
          <w:p w:rsidR="000E10AB" w:rsidRPr="00ED6412" w:rsidRDefault="000E10AB" w:rsidP="00ED6412">
            <w:pPr>
              <w:rPr>
                <w:sz w:val="22"/>
                <w:szCs w:val="22"/>
              </w:rPr>
            </w:pPr>
          </w:p>
        </w:tc>
      </w:tr>
      <w:tr w:rsidR="000E10AB" w:rsidRPr="00ED6412" w:rsidTr="005836B6">
        <w:trPr>
          <w:trHeight w:val="344"/>
        </w:trPr>
        <w:tc>
          <w:tcPr>
            <w:tcW w:w="8800" w:type="dxa"/>
            <w:shd w:val="clear" w:color="auto" w:fill="D9D9D9"/>
          </w:tcPr>
          <w:p w:rsidR="000E10AB" w:rsidRPr="00ED6412" w:rsidRDefault="000E10AB" w:rsidP="00ED6412">
            <w:pPr>
              <w:jc w:val="both"/>
              <w:rPr>
                <w:b/>
                <w:sz w:val="22"/>
                <w:szCs w:val="22"/>
              </w:rPr>
            </w:pPr>
            <w:r>
              <w:rPr>
                <w:b/>
                <w:sz w:val="22"/>
              </w:rPr>
              <w:lastRenderedPageBreak/>
              <w:t>Член 7 — Допустими разходи</w:t>
            </w:r>
          </w:p>
        </w:tc>
        <w:tc>
          <w:tcPr>
            <w:tcW w:w="5812" w:type="dxa"/>
            <w:shd w:val="clear" w:color="auto" w:fill="D9D9D9"/>
          </w:tcPr>
          <w:p w:rsidR="000E10AB" w:rsidRPr="00ED6412" w:rsidRDefault="000E10AB" w:rsidP="00ED6412">
            <w:pPr>
              <w:rPr>
                <w:sz w:val="22"/>
                <w:szCs w:val="22"/>
              </w:rPr>
            </w:pPr>
          </w:p>
        </w:tc>
      </w:tr>
      <w:tr w:rsidR="000E10AB" w:rsidRPr="00ED6412" w:rsidTr="00ED6412">
        <w:trPr>
          <w:trHeight w:val="416"/>
        </w:trPr>
        <w:tc>
          <w:tcPr>
            <w:tcW w:w="8800" w:type="dxa"/>
            <w:tcBorders>
              <w:bottom w:val="single" w:sz="4" w:space="0" w:color="auto"/>
            </w:tcBorders>
            <w:shd w:val="clear" w:color="auto" w:fill="auto"/>
          </w:tcPr>
          <w:p w:rsidR="00A774BC" w:rsidRPr="00ED6412" w:rsidRDefault="00ED6412" w:rsidP="00ED6412">
            <w:pPr>
              <w:jc w:val="both"/>
              <w:rPr>
                <w:sz w:val="22"/>
                <w:szCs w:val="22"/>
              </w:rPr>
            </w:pPr>
            <w:r>
              <w:rPr>
                <w:sz w:val="22"/>
              </w:rPr>
              <w:t>За изчисляването на интензитета на помощта:</w:t>
            </w:r>
          </w:p>
          <w:p w:rsidR="00A774BC" w:rsidRPr="00ED6412" w:rsidRDefault="004A36AF" w:rsidP="004F7598">
            <w:pPr>
              <w:numPr>
                <w:ilvl w:val="0"/>
                <w:numId w:val="10"/>
              </w:numPr>
              <w:jc w:val="both"/>
              <w:rPr>
                <w:sz w:val="22"/>
                <w:szCs w:val="22"/>
              </w:rPr>
            </w:pPr>
            <w:r>
              <w:rPr>
                <w:sz w:val="22"/>
              </w:rPr>
              <w:t>Данните се събират преди приспадането на данъци и други такси.</w:t>
            </w:r>
          </w:p>
          <w:p w:rsidR="00A774BC" w:rsidRPr="00ED6412" w:rsidRDefault="00A774BC" w:rsidP="004F7598">
            <w:pPr>
              <w:numPr>
                <w:ilvl w:val="0"/>
                <w:numId w:val="10"/>
              </w:numPr>
              <w:jc w:val="both"/>
              <w:rPr>
                <w:sz w:val="22"/>
                <w:szCs w:val="22"/>
              </w:rPr>
            </w:pPr>
            <w:r>
              <w:rPr>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A774BC" w:rsidRPr="00ED6412" w:rsidRDefault="00A774BC" w:rsidP="004F7598">
            <w:pPr>
              <w:numPr>
                <w:ilvl w:val="0"/>
                <w:numId w:val="10"/>
              </w:numPr>
              <w:jc w:val="both"/>
              <w:rPr>
                <w:sz w:val="22"/>
                <w:szCs w:val="22"/>
              </w:rPr>
            </w:pPr>
            <w:r>
              <w:rPr>
                <w:sz w:val="22"/>
              </w:rPr>
              <w:t xml:space="preserve">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 </w:t>
            </w:r>
          </w:p>
          <w:p w:rsidR="00A774BC" w:rsidRPr="00ED6412" w:rsidRDefault="00A774BC" w:rsidP="004F7598">
            <w:pPr>
              <w:numPr>
                <w:ilvl w:val="0"/>
                <w:numId w:val="10"/>
              </w:numPr>
              <w:jc w:val="both"/>
              <w:rPr>
                <w:sz w:val="22"/>
                <w:szCs w:val="22"/>
              </w:rPr>
            </w:pPr>
            <w:r>
              <w:rPr>
                <w:sz w:val="22"/>
              </w:rPr>
              <w:t xml:space="preserve">Отделните траншове помощ под формата на данъчни предимства се сконтират въз основа на сконтовите проценти, приложими към момента на влизане в сила на </w:t>
            </w:r>
            <w:r>
              <w:rPr>
                <w:sz w:val="22"/>
              </w:rPr>
              <w:lastRenderedPageBreak/>
              <w:t>данъчното предимство.</w:t>
            </w:r>
          </w:p>
          <w:p w:rsidR="00A774BC" w:rsidRPr="00ED6412" w:rsidRDefault="00A774BC" w:rsidP="004F7598">
            <w:pPr>
              <w:numPr>
                <w:ilvl w:val="0"/>
                <w:numId w:val="10"/>
              </w:numPr>
              <w:autoSpaceDE w:val="0"/>
              <w:autoSpaceDN w:val="0"/>
              <w:adjustRightInd w:val="0"/>
              <w:jc w:val="both"/>
              <w:rPr>
                <w:sz w:val="22"/>
                <w:szCs w:val="22"/>
              </w:rPr>
            </w:pPr>
            <w:r>
              <w:rPr>
                <w:sz w:val="22"/>
              </w:rPr>
              <w:t>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предоставяне на помощта, максималният интензитет на помощта може да бъде увеличен с 10 процентни пункта.</w:t>
            </w:r>
          </w:p>
          <w:p w:rsidR="00A774BC" w:rsidRPr="00ED6412" w:rsidRDefault="00A774BC" w:rsidP="00ED6412">
            <w:pPr>
              <w:autoSpaceDE w:val="0"/>
              <w:autoSpaceDN w:val="0"/>
              <w:adjustRightInd w:val="0"/>
              <w:jc w:val="both"/>
              <w:rPr>
                <w:sz w:val="22"/>
                <w:szCs w:val="22"/>
              </w:rPr>
            </w:pPr>
            <w:r>
              <w:rPr>
                <w:sz w:val="22"/>
              </w:rPr>
              <w:t xml:space="preserve">Допустими разходи и документация </w:t>
            </w:r>
          </w:p>
          <w:p w:rsidR="000E10AB" w:rsidRPr="00ED6412" w:rsidRDefault="00A774BC" w:rsidP="004F7598">
            <w:pPr>
              <w:numPr>
                <w:ilvl w:val="0"/>
                <w:numId w:val="10"/>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5812" w:type="dxa"/>
            <w:shd w:val="clear" w:color="auto" w:fill="auto"/>
          </w:tcPr>
          <w:p w:rsidR="000E10AB" w:rsidRPr="00ED6412" w:rsidRDefault="000E10AB" w:rsidP="00ED6412">
            <w:pPr>
              <w:rPr>
                <w:sz w:val="22"/>
                <w:szCs w:val="22"/>
              </w:rPr>
            </w:pPr>
          </w:p>
        </w:tc>
      </w:tr>
      <w:tr w:rsidR="000E10AB" w:rsidRPr="00ED6412" w:rsidTr="005836B6">
        <w:trPr>
          <w:trHeight w:val="271"/>
        </w:trPr>
        <w:tc>
          <w:tcPr>
            <w:tcW w:w="8800" w:type="dxa"/>
            <w:shd w:val="clear" w:color="auto" w:fill="D9D9D9"/>
          </w:tcPr>
          <w:p w:rsidR="000E10AB" w:rsidRPr="00ED6412" w:rsidRDefault="000E10AB" w:rsidP="00ED6412">
            <w:pPr>
              <w:jc w:val="both"/>
              <w:rPr>
                <w:b/>
                <w:sz w:val="22"/>
                <w:szCs w:val="22"/>
              </w:rPr>
            </w:pPr>
            <w:r>
              <w:rPr>
                <w:b/>
                <w:sz w:val="22"/>
              </w:rPr>
              <w:lastRenderedPageBreak/>
              <w:t>Член 8 — Натрупване</w:t>
            </w:r>
          </w:p>
        </w:tc>
        <w:tc>
          <w:tcPr>
            <w:tcW w:w="5812" w:type="dxa"/>
            <w:shd w:val="clear" w:color="auto" w:fill="D9D9D9"/>
          </w:tcPr>
          <w:p w:rsidR="000E10AB" w:rsidRPr="00ED6412" w:rsidRDefault="000E10AB" w:rsidP="00ED6412">
            <w:pPr>
              <w:rPr>
                <w:sz w:val="22"/>
                <w:szCs w:val="22"/>
              </w:rPr>
            </w:pPr>
          </w:p>
        </w:tc>
      </w:tr>
      <w:tr w:rsidR="000E10AB" w:rsidRPr="00ED6412" w:rsidTr="00ED6412">
        <w:trPr>
          <w:trHeight w:val="271"/>
        </w:trPr>
        <w:tc>
          <w:tcPr>
            <w:tcW w:w="8800" w:type="dxa"/>
            <w:tcBorders>
              <w:bottom w:val="single" w:sz="4" w:space="0" w:color="auto"/>
            </w:tcBorders>
            <w:shd w:val="clear" w:color="auto" w:fill="auto"/>
          </w:tcPr>
          <w:p w:rsidR="00EE4B09" w:rsidRPr="00D715B3" w:rsidRDefault="00EE4B09" w:rsidP="004F7598">
            <w:pPr>
              <w:numPr>
                <w:ilvl w:val="0"/>
                <w:numId w:val="11"/>
              </w:numPr>
              <w:jc w:val="both"/>
              <w:rPr>
                <w:sz w:val="22"/>
                <w:szCs w:val="22"/>
              </w:rPr>
            </w:pPr>
            <w:r w:rsidRPr="00D715B3">
              <w:rPr>
                <w:sz w:val="22"/>
                <w:szCs w:val="22"/>
              </w:rPr>
              <w:t xml:space="preserve">За праговете и максималните интензитети на помощта се взема предвид </w:t>
            </w:r>
            <w:r w:rsidRPr="00D715B3">
              <w:rPr>
                <w:b/>
                <w:sz w:val="22"/>
                <w:szCs w:val="22"/>
              </w:rPr>
              <w:t>общият размер</w:t>
            </w:r>
            <w:r w:rsidRPr="00D715B3">
              <w:rPr>
                <w:sz w:val="22"/>
                <w:szCs w:val="22"/>
              </w:rPr>
              <w:t xml:space="preserve"> на помощта (параграф 1).</w:t>
            </w:r>
          </w:p>
          <w:p w:rsidR="00EE4B09" w:rsidRPr="00D715B3" w:rsidRDefault="00EE4B09" w:rsidP="004F7598">
            <w:pPr>
              <w:numPr>
                <w:ilvl w:val="0"/>
                <w:numId w:val="11"/>
              </w:numPr>
              <w:autoSpaceDE w:val="0"/>
              <w:autoSpaceDN w:val="0"/>
              <w:adjustRightInd w:val="0"/>
              <w:jc w:val="both"/>
              <w:rPr>
                <w:sz w:val="22"/>
                <w:szCs w:val="22"/>
              </w:rPr>
            </w:pPr>
            <w:r w:rsidRPr="00D715B3">
              <w:rPr>
                <w:sz w:val="22"/>
                <w:szCs w:val="22"/>
              </w:rPr>
              <w:t xml:space="preserve">Когато </w:t>
            </w:r>
            <w:r w:rsidRPr="00D715B3">
              <w:rPr>
                <w:b/>
                <w:sz w:val="22"/>
                <w:szCs w:val="22"/>
              </w:rPr>
              <w:t>финансиране от Съюза</w:t>
            </w:r>
            <w:r w:rsidRPr="00D715B3">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EE4B09" w:rsidRPr="00D715B3" w:rsidRDefault="00EE4B09" w:rsidP="004F7598">
            <w:pPr>
              <w:numPr>
                <w:ilvl w:val="0"/>
                <w:numId w:val="11"/>
              </w:numPr>
              <w:jc w:val="both"/>
              <w:rPr>
                <w:sz w:val="22"/>
                <w:szCs w:val="22"/>
              </w:rPr>
            </w:pPr>
            <w:r w:rsidRPr="00D715B3">
              <w:rPr>
                <w:sz w:val="22"/>
                <w:szCs w:val="22"/>
              </w:rPr>
              <w:t xml:space="preserve">Освободените от задължението за уведомяване помощи могат да се натрупват с всякаква друга държавна помощ, ако </w:t>
            </w:r>
            <w:r w:rsidRPr="00D715B3">
              <w:rPr>
                <w:b/>
                <w:sz w:val="22"/>
                <w:szCs w:val="22"/>
              </w:rPr>
              <w:t>установимите разходи са различни</w:t>
            </w:r>
            <w:r w:rsidRPr="00D715B3">
              <w:rPr>
                <w:sz w:val="22"/>
                <w:szCs w:val="22"/>
              </w:rPr>
              <w:t xml:space="preserve"> (параграф 3, буква а).</w:t>
            </w:r>
          </w:p>
          <w:p w:rsidR="00EE4B09" w:rsidRPr="00D715B3" w:rsidRDefault="00EE4B09" w:rsidP="004F7598">
            <w:pPr>
              <w:numPr>
                <w:ilvl w:val="0"/>
                <w:numId w:val="11"/>
              </w:numPr>
              <w:jc w:val="both"/>
              <w:rPr>
                <w:sz w:val="22"/>
                <w:szCs w:val="22"/>
              </w:rPr>
            </w:pPr>
            <w:r w:rsidRPr="00D715B3">
              <w:rPr>
                <w:sz w:val="22"/>
                <w:szCs w:val="22"/>
              </w:rPr>
              <w:t xml:space="preserve">Не се допуска натрупване на освободени от задължението за уведомяване помощи с никаква друга помощ във връзка със </w:t>
            </w:r>
            <w:r w:rsidRPr="00D715B3">
              <w:rPr>
                <w:b/>
                <w:sz w:val="22"/>
                <w:szCs w:val="22"/>
              </w:rPr>
              <w:t>същите допустими разходи</w:t>
            </w:r>
            <w:r w:rsidRPr="00D715B3">
              <w:rPr>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ED6412" w:rsidRDefault="00EE4B09" w:rsidP="004F7598">
            <w:pPr>
              <w:numPr>
                <w:ilvl w:val="0"/>
                <w:numId w:val="11"/>
              </w:numPr>
              <w:jc w:val="both"/>
              <w:rPr>
                <w:sz w:val="22"/>
                <w:szCs w:val="22"/>
              </w:rPr>
            </w:pPr>
            <w:r w:rsidRPr="00D715B3">
              <w:rPr>
                <w:sz w:val="22"/>
                <w:szCs w:val="22"/>
              </w:rPr>
              <w:t xml:space="preserve">Държавните помощи, освободени от задължението за уведомяване по силата на ОРГО, не могат да се натрупват с помощ </w:t>
            </w:r>
            <w:r w:rsidRPr="00D715B3">
              <w:rPr>
                <w:b/>
                <w:sz w:val="22"/>
                <w:szCs w:val="22"/>
              </w:rPr>
              <w:t>de minimis</w:t>
            </w:r>
            <w:r w:rsidRPr="00D715B3">
              <w:rPr>
                <w:sz w:val="22"/>
                <w:szCs w:val="22"/>
              </w:rPr>
              <w:t xml:space="preserve"> по отношение на същите допустими </w:t>
            </w:r>
            <w:r w:rsidRPr="00D715B3">
              <w:rPr>
                <w:sz w:val="22"/>
                <w:szCs w:val="22"/>
              </w:rPr>
              <w:lastRenderedPageBreak/>
              <w:t>разходи, ако това натрупване би довело до интензитет на помощта, надхвърлящ праговете, установени в глава III от ОРГО (параграф 5).</w:t>
            </w:r>
          </w:p>
        </w:tc>
        <w:tc>
          <w:tcPr>
            <w:tcW w:w="5812" w:type="dxa"/>
            <w:shd w:val="clear" w:color="auto" w:fill="auto"/>
          </w:tcPr>
          <w:p w:rsidR="000E10AB" w:rsidRPr="00ED6412" w:rsidRDefault="000E10AB" w:rsidP="00ED6412">
            <w:pPr>
              <w:rPr>
                <w:sz w:val="22"/>
                <w:szCs w:val="22"/>
              </w:rPr>
            </w:pPr>
          </w:p>
        </w:tc>
      </w:tr>
      <w:tr w:rsidR="000C08B0" w:rsidRPr="002B692E" w:rsidTr="004F7598">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D9D9D9"/>
          </w:tcPr>
          <w:p w:rsidR="000C08B0" w:rsidRPr="002B692E" w:rsidRDefault="000C08B0" w:rsidP="000C08B0">
            <w:pPr>
              <w:tabs>
                <w:tab w:val="num" w:pos="360"/>
              </w:tabs>
              <w:ind w:left="360" w:hanging="360"/>
              <w:jc w:val="both"/>
              <w:rPr>
                <w:b/>
                <w:sz w:val="22"/>
                <w:szCs w:val="22"/>
              </w:rPr>
            </w:pPr>
            <w:r>
              <w:rPr>
                <w:b/>
                <w:sz w:val="22"/>
              </w:rPr>
              <w:lastRenderedPageBreak/>
              <w:t xml:space="preserve">Член 9 — Публикуване и информация </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0C08B0" w:rsidRPr="002B692E" w:rsidRDefault="000C08B0" w:rsidP="00551033">
            <w:pPr>
              <w:rPr>
                <w:sz w:val="22"/>
                <w:szCs w:val="22"/>
              </w:rPr>
            </w:pPr>
          </w:p>
        </w:tc>
      </w:tr>
      <w:tr w:rsidR="000C08B0" w:rsidRPr="002B692E" w:rsidTr="000C08B0">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auto"/>
          </w:tcPr>
          <w:p w:rsidR="000C08B0" w:rsidRPr="004F7598" w:rsidRDefault="000C08B0" w:rsidP="004F7598">
            <w:pPr>
              <w:numPr>
                <w:ilvl w:val="0"/>
                <w:numId w:val="14"/>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0C08B0" w:rsidRPr="004F7598" w:rsidRDefault="00AC1C80" w:rsidP="0005205D">
            <w:pPr>
              <w:autoSpaceDE w:val="0"/>
              <w:autoSpaceDN w:val="0"/>
              <w:adjustRightInd w:val="0"/>
              <w:ind w:left="328"/>
              <w:jc w:val="both"/>
              <w:rPr>
                <w:sz w:val="22"/>
                <w:szCs w:val="22"/>
              </w:rPr>
            </w:pPr>
            <w:r>
              <w:rPr>
                <w:sz w:val="22"/>
              </w:rPr>
              <w:t>а)</w:t>
            </w:r>
            <w:r w:rsidRPr="00AC1C80">
              <w:rPr>
                <w:sz w:val="22"/>
              </w:rPr>
              <w:tab/>
            </w:r>
            <w:r w:rsidR="000C08B0">
              <w:rPr>
                <w:sz w:val="22"/>
              </w:rPr>
              <w:t>обобщената информация (вж. член 11) или връзка, която предоставя достъп до нея;</w:t>
            </w:r>
          </w:p>
          <w:p w:rsidR="000C08B0" w:rsidRPr="004F7598" w:rsidRDefault="00AC1C80" w:rsidP="0005205D">
            <w:pPr>
              <w:autoSpaceDE w:val="0"/>
              <w:autoSpaceDN w:val="0"/>
              <w:adjustRightInd w:val="0"/>
              <w:ind w:left="328"/>
              <w:jc w:val="both"/>
              <w:rPr>
                <w:sz w:val="22"/>
                <w:szCs w:val="22"/>
              </w:rPr>
            </w:pPr>
            <w:r>
              <w:rPr>
                <w:sz w:val="22"/>
              </w:rPr>
              <w:t>б)</w:t>
            </w:r>
            <w:r w:rsidRPr="00AC1C80">
              <w:rPr>
                <w:sz w:val="22"/>
              </w:rPr>
              <w:tab/>
            </w:r>
            <w:r w:rsidR="000C08B0">
              <w:rPr>
                <w:sz w:val="22"/>
              </w:rPr>
              <w:t xml:space="preserve">пълния текст на всяка мярка за помощ (вж. член 11) или връзка, която предоставя </w:t>
            </w:r>
            <w:r w:rsidRPr="00AC1C80">
              <w:rPr>
                <w:sz w:val="22"/>
              </w:rPr>
              <w:tab/>
            </w:r>
            <w:r w:rsidR="000C08B0">
              <w:rPr>
                <w:sz w:val="22"/>
              </w:rPr>
              <w:t>достъп до него;</w:t>
            </w:r>
          </w:p>
          <w:p w:rsidR="000C08B0" w:rsidRPr="00AC1C80" w:rsidRDefault="00AC1C80" w:rsidP="00AC1C80">
            <w:pPr>
              <w:autoSpaceDE w:val="0"/>
              <w:autoSpaceDN w:val="0"/>
              <w:adjustRightInd w:val="0"/>
              <w:ind w:left="328"/>
              <w:jc w:val="both"/>
              <w:rPr>
                <w:sz w:val="22"/>
              </w:rPr>
            </w:pPr>
            <w:r>
              <w:rPr>
                <w:sz w:val="22"/>
              </w:rPr>
              <w:t>в)</w:t>
            </w:r>
            <w:r w:rsidRPr="00AC1C80">
              <w:rPr>
                <w:sz w:val="22"/>
              </w:rPr>
              <w:tab/>
            </w:r>
            <w:r w:rsidR="000C08B0">
              <w:rPr>
                <w:sz w:val="22"/>
              </w:rPr>
              <w:t xml:space="preserve">информацията относно всяка предоставена индивидуална помощ, надхвърляща </w:t>
            </w:r>
            <w:r w:rsidRPr="00AC1C80">
              <w:rPr>
                <w:sz w:val="22"/>
              </w:rPr>
              <w:tab/>
            </w:r>
            <w:r w:rsidR="000C08B0">
              <w:rPr>
                <w:sz w:val="22"/>
              </w:rPr>
              <w:t>500 000 евро (вж. приложение III).</w:t>
            </w:r>
          </w:p>
          <w:p w:rsidR="000C08B0" w:rsidRPr="004F7598" w:rsidRDefault="000C08B0" w:rsidP="000C08B0">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0C08B0" w:rsidRPr="004F7598" w:rsidRDefault="000C08B0" w:rsidP="004F7598">
            <w:pPr>
              <w:numPr>
                <w:ilvl w:val="0"/>
                <w:numId w:val="14"/>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0C08B0" w:rsidRPr="004F7598" w:rsidRDefault="000C08B0" w:rsidP="004F7598">
            <w:pPr>
              <w:numPr>
                <w:ilvl w:val="0"/>
                <w:numId w:val="16"/>
              </w:numPr>
              <w:autoSpaceDE w:val="0"/>
              <w:autoSpaceDN w:val="0"/>
              <w:adjustRightInd w:val="0"/>
              <w:jc w:val="both"/>
              <w:rPr>
                <w:sz w:val="22"/>
                <w:szCs w:val="22"/>
              </w:rPr>
            </w:pPr>
            <w:r>
              <w:rPr>
                <w:sz w:val="22"/>
              </w:rPr>
              <w:t>0,5-1;</w:t>
            </w:r>
          </w:p>
          <w:p w:rsidR="000C08B0" w:rsidRPr="004F7598" w:rsidRDefault="000C08B0" w:rsidP="004F7598">
            <w:pPr>
              <w:numPr>
                <w:ilvl w:val="0"/>
                <w:numId w:val="16"/>
              </w:numPr>
              <w:autoSpaceDE w:val="0"/>
              <w:autoSpaceDN w:val="0"/>
              <w:adjustRightInd w:val="0"/>
              <w:jc w:val="both"/>
              <w:rPr>
                <w:sz w:val="22"/>
                <w:szCs w:val="22"/>
              </w:rPr>
            </w:pPr>
            <w:r>
              <w:rPr>
                <w:sz w:val="22"/>
              </w:rPr>
              <w:t>1-2;</w:t>
            </w:r>
          </w:p>
          <w:p w:rsidR="000C08B0" w:rsidRPr="004F7598" w:rsidRDefault="000C08B0" w:rsidP="004F7598">
            <w:pPr>
              <w:numPr>
                <w:ilvl w:val="0"/>
                <w:numId w:val="16"/>
              </w:numPr>
              <w:autoSpaceDE w:val="0"/>
              <w:autoSpaceDN w:val="0"/>
              <w:adjustRightInd w:val="0"/>
              <w:jc w:val="both"/>
              <w:rPr>
                <w:sz w:val="22"/>
                <w:szCs w:val="22"/>
              </w:rPr>
            </w:pPr>
            <w:r>
              <w:rPr>
                <w:sz w:val="22"/>
              </w:rPr>
              <w:t>2-5;</w:t>
            </w:r>
          </w:p>
          <w:p w:rsidR="000C08B0" w:rsidRPr="004F7598" w:rsidRDefault="000C08B0" w:rsidP="004F7598">
            <w:pPr>
              <w:numPr>
                <w:ilvl w:val="0"/>
                <w:numId w:val="16"/>
              </w:numPr>
              <w:autoSpaceDE w:val="0"/>
              <w:autoSpaceDN w:val="0"/>
              <w:adjustRightInd w:val="0"/>
              <w:jc w:val="both"/>
              <w:rPr>
                <w:sz w:val="22"/>
                <w:szCs w:val="22"/>
              </w:rPr>
            </w:pPr>
            <w:r>
              <w:rPr>
                <w:sz w:val="22"/>
              </w:rPr>
              <w:t>5-10;</w:t>
            </w:r>
          </w:p>
          <w:p w:rsidR="000C08B0" w:rsidRPr="004F7598" w:rsidRDefault="000C08B0" w:rsidP="004F7598">
            <w:pPr>
              <w:numPr>
                <w:ilvl w:val="0"/>
                <w:numId w:val="16"/>
              </w:numPr>
              <w:autoSpaceDE w:val="0"/>
              <w:autoSpaceDN w:val="0"/>
              <w:adjustRightInd w:val="0"/>
              <w:jc w:val="both"/>
              <w:rPr>
                <w:sz w:val="22"/>
                <w:szCs w:val="22"/>
              </w:rPr>
            </w:pPr>
            <w:r>
              <w:rPr>
                <w:sz w:val="22"/>
              </w:rPr>
              <w:t>10-30; и</w:t>
            </w:r>
          </w:p>
          <w:p w:rsidR="000C08B0" w:rsidRPr="004F7598" w:rsidRDefault="000C08B0" w:rsidP="004F7598">
            <w:pPr>
              <w:numPr>
                <w:ilvl w:val="0"/>
                <w:numId w:val="16"/>
              </w:numPr>
              <w:autoSpaceDE w:val="0"/>
              <w:autoSpaceDN w:val="0"/>
              <w:adjustRightInd w:val="0"/>
              <w:jc w:val="both"/>
              <w:rPr>
                <w:sz w:val="22"/>
                <w:szCs w:val="22"/>
              </w:rPr>
            </w:pPr>
            <w:r>
              <w:rPr>
                <w:sz w:val="22"/>
              </w:rPr>
              <w:t>30 и повече.</w:t>
            </w:r>
          </w:p>
          <w:p w:rsidR="000C08B0" w:rsidRPr="004F7598" w:rsidRDefault="000C08B0" w:rsidP="004F7598">
            <w:pPr>
              <w:numPr>
                <w:ilvl w:val="0"/>
                <w:numId w:val="14"/>
              </w:numPr>
              <w:autoSpaceDE w:val="0"/>
              <w:autoSpaceDN w:val="0"/>
              <w:adjustRightInd w:val="0"/>
              <w:ind w:left="328" w:hanging="283"/>
              <w:jc w:val="both"/>
              <w:rPr>
                <w:sz w:val="22"/>
                <w:szCs w:val="22"/>
              </w:rPr>
            </w:pPr>
            <w:r>
              <w:rPr>
                <w:sz w:val="22"/>
              </w:rPr>
              <w:t xml:space="preserve">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w:t>
            </w:r>
            <w:r>
              <w:rPr>
                <w:sz w:val="22"/>
              </w:rPr>
              <w:lastRenderedPageBreak/>
              <w:t>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0C08B0" w:rsidRPr="000C08B0" w:rsidRDefault="000C08B0" w:rsidP="004F7598">
            <w:pPr>
              <w:numPr>
                <w:ilvl w:val="0"/>
                <w:numId w:val="14"/>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C08B0" w:rsidRPr="002B692E" w:rsidRDefault="000C08B0" w:rsidP="00551033">
            <w:pPr>
              <w:rPr>
                <w:sz w:val="22"/>
                <w:szCs w:val="22"/>
              </w:rPr>
            </w:pPr>
          </w:p>
        </w:tc>
      </w:tr>
    </w:tbl>
    <w:p w:rsidR="000C08B0" w:rsidRDefault="000C08B0" w:rsidP="00ED6412">
      <w:pPr>
        <w:rPr>
          <w:b/>
          <w:sz w:val="22"/>
          <w:szCs w:val="22"/>
        </w:rPr>
      </w:pPr>
    </w:p>
    <w:p w:rsidR="007D461F" w:rsidRPr="00AC1C80" w:rsidRDefault="007D461F" w:rsidP="00ED6412">
      <w:pPr>
        <w:rPr>
          <w:sz w:val="22"/>
          <w:szCs w:val="22"/>
        </w:rPr>
      </w:pPr>
      <w:r w:rsidRPr="00AC1C80">
        <w:rPr>
          <w:b/>
          <w:sz w:val="22"/>
          <w:szCs w:val="22"/>
        </w:rPr>
        <w:t>За определенията на понятията</w:t>
      </w:r>
      <w:r w:rsidRPr="00AC1C80">
        <w:rPr>
          <w:sz w:val="22"/>
          <w:szCs w:val="22"/>
        </w:rPr>
        <w:t>: член 2 (точки</w:t>
      </w:r>
      <w:r w:rsidRPr="00AC1C80">
        <w:rPr>
          <w:i/>
          <w:sz w:val="22"/>
          <w:szCs w:val="22"/>
        </w:rPr>
        <w:t xml:space="preserve"> </w:t>
      </w:r>
      <w:r w:rsidRPr="00AC1C80">
        <w:rPr>
          <w:sz w:val="22"/>
          <w:szCs w:val="22"/>
        </w:rPr>
        <w:t>133—139) (да се обърне внимание на новото определение на предприятие в затруднено положение).</w:t>
      </w:r>
    </w:p>
    <w:p w:rsidR="00D64EFF" w:rsidRPr="00AC1C80" w:rsidRDefault="00D64EFF" w:rsidP="00ED6412">
      <w:pPr>
        <w:rPr>
          <w:sz w:val="22"/>
          <w:szCs w:val="22"/>
        </w:rPr>
      </w:pPr>
    </w:p>
    <w:p w:rsidR="007D461F" w:rsidRPr="00AC1C80" w:rsidRDefault="000C08B0" w:rsidP="00ED6412">
      <w:pPr>
        <w:rPr>
          <w:sz w:val="22"/>
          <w:szCs w:val="22"/>
        </w:rPr>
      </w:pPr>
      <w:r w:rsidRPr="00AC1C80">
        <w:rPr>
          <w:b/>
          <w:sz w:val="22"/>
          <w:szCs w:val="22"/>
        </w:rPr>
        <w:t>Докладване</w:t>
      </w:r>
      <w:r w:rsidRPr="00AC1C80">
        <w:rPr>
          <w:sz w:val="22"/>
          <w:szCs w:val="22"/>
        </w:rPr>
        <w:t>: член 11</w:t>
      </w:r>
    </w:p>
    <w:p w:rsidR="007D461F" w:rsidRPr="00AC1C80" w:rsidRDefault="007D461F" w:rsidP="00ED6412">
      <w:pPr>
        <w:rPr>
          <w:sz w:val="22"/>
          <w:szCs w:val="22"/>
        </w:rPr>
      </w:pPr>
      <w:r w:rsidRPr="00AC1C80">
        <w:rPr>
          <w:b/>
          <w:sz w:val="22"/>
          <w:szCs w:val="22"/>
        </w:rPr>
        <w:t>Контрол:</w:t>
      </w:r>
      <w:r w:rsidRPr="00AC1C80">
        <w:rPr>
          <w:sz w:val="22"/>
          <w:szCs w:val="22"/>
        </w:rPr>
        <w:t xml:space="preserve"> член 12</w:t>
      </w:r>
    </w:p>
    <w:p w:rsidR="007D461F" w:rsidRPr="00AC1C80" w:rsidRDefault="00DD57E1" w:rsidP="00ED6412">
      <w:pPr>
        <w:rPr>
          <w:sz w:val="22"/>
          <w:szCs w:val="22"/>
        </w:rPr>
      </w:pPr>
      <w:r w:rsidRPr="00AC1C80">
        <w:rPr>
          <w:b/>
          <w:sz w:val="22"/>
          <w:szCs w:val="22"/>
        </w:rPr>
        <w:t>Отмяна на груповото освобождаване</w:t>
      </w:r>
      <w:r w:rsidRPr="00AC1C80">
        <w:rPr>
          <w:sz w:val="22"/>
          <w:szCs w:val="22"/>
        </w:rPr>
        <w:t>: член 10</w:t>
      </w:r>
    </w:p>
    <w:p w:rsidR="00F177AC" w:rsidRPr="00AC1C80" w:rsidRDefault="00F177AC" w:rsidP="00ED6412">
      <w:pPr>
        <w:rPr>
          <w:sz w:val="22"/>
          <w:szCs w:val="22"/>
        </w:rPr>
      </w:pPr>
    </w:p>
    <w:p w:rsidR="00003D17" w:rsidRPr="00AC1C80" w:rsidRDefault="00003D17" w:rsidP="00ED6412">
      <w:pPr>
        <w:jc w:val="center"/>
        <w:rPr>
          <w:sz w:val="22"/>
          <w:szCs w:val="22"/>
        </w:rPr>
      </w:pPr>
      <w:r w:rsidRPr="00AC1C80">
        <w:rPr>
          <w:b/>
          <w:sz w:val="22"/>
          <w:szCs w:val="22"/>
          <w:u w:val="single"/>
        </w:rPr>
        <w:t>Б. Специални условия за помощите за широколентови инфраструктури</w:t>
      </w:r>
    </w:p>
    <w:p w:rsidR="00003D17" w:rsidRPr="00ED6412" w:rsidRDefault="00003D17" w:rsidP="00ED6412">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6094"/>
      </w:tblGrid>
      <w:tr w:rsidR="00895393" w:rsidRPr="00ED6412" w:rsidTr="002102A6">
        <w:trPr>
          <w:trHeight w:val="145"/>
        </w:trPr>
        <w:tc>
          <w:tcPr>
            <w:tcW w:w="2913" w:type="pct"/>
            <w:tcBorders>
              <w:bottom w:val="single" w:sz="4" w:space="0" w:color="auto"/>
            </w:tcBorders>
            <w:shd w:val="clear" w:color="auto" w:fill="333399"/>
          </w:tcPr>
          <w:p w:rsidR="00507F95" w:rsidRPr="00ED6412" w:rsidRDefault="00507F95" w:rsidP="00ED6412">
            <w:pPr>
              <w:ind w:left="360"/>
              <w:jc w:val="center"/>
              <w:rPr>
                <w:b/>
                <w:smallCaps/>
                <w:color w:val="FFFFFF"/>
                <w:sz w:val="22"/>
                <w:szCs w:val="22"/>
              </w:rPr>
            </w:pPr>
            <w:r>
              <w:rPr>
                <w:b/>
                <w:smallCaps/>
                <w:color w:val="FFFFFF"/>
                <w:sz w:val="22"/>
              </w:rPr>
              <w:t xml:space="preserve">Член 52 </w:t>
            </w:r>
          </w:p>
          <w:p w:rsidR="00BB080C" w:rsidRPr="00ED6412" w:rsidRDefault="00723ECD" w:rsidP="00ED6412">
            <w:pPr>
              <w:ind w:left="360"/>
              <w:jc w:val="center"/>
              <w:rPr>
                <w:b/>
                <w:smallCaps/>
                <w:color w:val="FFFFFF"/>
                <w:sz w:val="22"/>
                <w:szCs w:val="22"/>
              </w:rPr>
            </w:pPr>
            <w:r>
              <w:rPr>
                <w:b/>
                <w:smallCaps/>
                <w:color w:val="FFFFFF"/>
                <w:sz w:val="22"/>
              </w:rPr>
              <w:t>Помощи за широколентови инфраструктури</w:t>
            </w:r>
          </w:p>
        </w:tc>
        <w:tc>
          <w:tcPr>
            <w:tcW w:w="2087" w:type="pct"/>
            <w:shd w:val="clear" w:color="auto" w:fill="333399"/>
          </w:tcPr>
          <w:p w:rsidR="00BB080C" w:rsidRPr="00ED6412" w:rsidRDefault="00BB080C" w:rsidP="00ED6412">
            <w:pPr>
              <w:jc w:val="center"/>
              <w:rPr>
                <w:b/>
                <w:smallCaps/>
                <w:color w:val="FFFFFF"/>
                <w:sz w:val="22"/>
                <w:szCs w:val="22"/>
              </w:rPr>
            </w:pPr>
            <w:r>
              <w:rPr>
                <w:b/>
                <w:smallCaps/>
                <w:color w:val="FFFFFF"/>
                <w:sz w:val="22"/>
              </w:rPr>
              <w:t>Проверка на съответствието (OK?)</w:t>
            </w:r>
          </w:p>
        </w:tc>
      </w:tr>
      <w:tr w:rsidR="00895393" w:rsidRPr="00ED6412" w:rsidTr="002102A6">
        <w:trPr>
          <w:trHeight w:val="283"/>
        </w:trPr>
        <w:tc>
          <w:tcPr>
            <w:tcW w:w="2913" w:type="pct"/>
            <w:shd w:val="clear" w:color="auto" w:fill="auto"/>
          </w:tcPr>
          <w:p w:rsidR="00507F95" w:rsidRPr="00ED6412" w:rsidRDefault="00507F95" w:rsidP="004F7598">
            <w:pPr>
              <w:numPr>
                <w:ilvl w:val="0"/>
                <w:numId w:val="9"/>
              </w:numPr>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981AB9" w:rsidRPr="00ED6412" w:rsidRDefault="000A7662" w:rsidP="004F7598">
            <w:pPr>
              <w:numPr>
                <w:ilvl w:val="0"/>
                <w:numId w:val="9"/>
              </w:numPr>
              <w:jc w:val="both"/>
              <w:rPr>
                <w:sz w:val="22"/>
                <w:szCs w:val="22"/>
              </w:rPr>
            </w:pPr>
            <w:r>
              <w:rPr>
                <w:b/>
              </w:rPr>
              <w:t>Допустими разходи</w:t>
            </w:r>
            <w:r>
              <w:t xml:space="preserve"> (параграф 2):</w:t>
            </w:r>
          </w:p>
          <w:p w:rsidR="00657DDE" w:rsidRPr="00ED6412" w:rsidRDefault="004842E8" w:rsidP="0005205D">
            <w:pPr>
              <w:ind w:left="459"/>
              <w:jc w:val="both"/>
              <w:rPr>
                <w:sz w:val="22"/>
                <w:szCs w:val="22"/>
              </w:rPr>
            </w:pPr>
            <w:r>
              <w:rPr>
                <w:sz w:val="22"/>
              </w:rPr>
              <w:t>а)</w:t>
            </w:r>
            <w:r w:rsidRPr="004842E8">
              <w:rPr>
                <w:sz w:val="22"/>
              </w:rPr>
              <w:tab/>
            </w:r>
            <w:r w:rsidR="00657DDE">
              <w:rPr>
                <w:sz w:val="22"/>
              </w:rPr>
              <w:t xml:space="preserve">инвестиционни разходи за разгръщане на пасивна широколентова </w:t>
            </w:r>
            <w:r w:rsidRPr="004842E8">
              <w:rPr>
                <w:sz w:val="22"/>
              </w:rPr>
              <w:tab/>
            </w:r>
            <w:r w:rsidR="00657DDE">
              <w:rPr>
                <w:sz w:val="22"/>
              </w:rPr>
              <w:t>инфраструктура;</w:t>
            </w:r>
          </w:p>
          <w:p w:rsidR="00657DDE" w:rsidRPr="00ED6412" w:rsidRDefault="004842E8" w:rsidP="0005205D">
            <w:pPr>
              <w:ind w:left="459"/>
              <w:jc w:val="both"/>
              <w:rPr>
                <w:sz w:val="22"/>
                <w:szCs w:val="22"/>
              </w:rPr>
            </w:pPr>
            <w:r>
              <w:rPr>
                <w:sz w:val="22"/>
              </w:rPr>
              <w:t>б)</w:t>
            </w:r>
            <w:r w:rsidRPr="004842E8">
              <w:rPr>
                <w:sz w:val="22"/>
              </w:rPr>
              <w:tab/>
            </w:r>
            <w:r w:rsidR="00657DDE">
              <w:rPr>
                <w:sz w:val="22"/>
              </w:rPr>
              <w:t xml:space="preserve">инвестиционни разходи за гражданско строителство, свързано с широколентов </w:t>
            </w:r>
            <w:r w:rsidRPr="004842E8">
              <w:rPr>
                <w:sz w:val="22"/>
              </w:rPr>
              <w:tab/>
            </w:r>
            <w:r w:rsidR="00657DDE">
              <w:rPr>
                <w:sz w:val="22"/>
              </w:rPr>
              <w:t>достъп;</w:t>
            </w:r>
          </w:p>
          <w:p w:rsidR="00657DDE" w:rsidRPr="00ED6412" w:rsidRDefault="004842E8" w:rsidP="0005205D">
            <w:pPr>
              <w:ind w:left="459"/>
              <w:jc w:val="both"/>
              <w:rPr>
                <w:sz w:val="22"/>
                <w:szCs w:val="22"/>
              </w:rPr>
            </w:pPr>
            <w:r>
              <w:rPr>
                <w:sz w:val="22"/>
              </w:rPr>
              <w:t>в)</w:t>
            </w:r>
            <w:r w:rsidRPr="004842E8">
              <w:rPr>
                <w:sz w:val="22"/>
              </w:rPr>
              <w:tab/>
            </w:r>
            <w:r w:rsidR="00657DDE">
              <w:rPr>
                <w:sz w:val="22"/>
              </w:rPr>
              <w:t xml:space="preserve">инвестиционни разходи за разгръщане на основни широколентови мрежи; </w:t>
            </w:r>
          </w:p>
          <w:p w:rsidR="00657DDE" w:rsidRPr="00ED6412" w:rsidRDefault="004842E8" w:rsidP="0005205D">
            <w:pPr>
              <w:ind w:left="459"/>
              <w:jc w:val="both"/>
              <w:rPr>
                <w:sz w:val="22"/>
                <w:szCs w:val="22"/>
              </w:rPr>
            </w:pPr>
            <w:r>
              <w:rPr>
                <w:sz w:val="22"/>
              </w:rPr>
              <w:t>г)</w:t>
            </w:r>
            <w:r w:rsidRPr="004842E8">
              <w:rPr>
                <w:sz w:val="22"/>
              </w:rPr>
              <w:tab/>
            </w:r>
            <w:r w:rsidR="00657DDE">
              <w:rPr>
                <w:sz w:val="22"/>
              </w:rPr>
              <w:t xml:space="preserve">инвестиционни разходи за разгръщане на мрежи за достъп от следващо </w:t>
            </w:r>
            <w:r w:rsidRPr="004842E8">
              <w:rPr>
                <w:sz w:val="22"/>
              </w:rPr>
              <w:tab/>
            </w:r>
            <w:r w:rsidR="00657DDE">
              <w:rPr>
                <w:sz w:val="22"/>
              </w:rPr>
              <w:t>поколение.</w:t>
            </w:r>
          </w:p>
          <w:p w:rsidR="00657DDE" w:rsidRPr="00ED6412" w:rsidRDefault="00657DDE" w:rsidP="004F7598">
            <w:pPr>
              <w:numPr>
                <w:ilvl w:val="0"/>
                <w:numId w:val="9"/>
              </w:numPr>
              <w:jc w:val="both"/>
              <w:rPr>
                <w:sz w:val="22"/>
                <w:szCs w:val="22"/>
              </w:rPr>
            </w:pPr>
            <w:r>
              <w:rPr>
                <w:sz w:val="22"/>
              </w:rPr>
              <w:t xml:space="preserve">Инвестицията е </w:t>
            </w:r>
            <w:r>
              <w:rPr>
                <w:b/>
                <w:sz w:val="22"/>
              </w:rPr>
              <w:t>разположена в региони, в които няма инфраструктура от същата категория</w:t>
            </w:r>
            <w:r>
              <w:rPr>
                <w:sz w:val="22"/>
              </w:rPr>
              <w:t xml:space="preserve"> (основен широколентов достъп или мрежа за достъп от следващо поколение) и не е вероятно такава инфраструктура да бъде разгърната на </w:t>
            </w:r>
            <w:r>
              <w:rPr>
                <w:sz w:val="22"/>
              </w:rPr>
              <w:lastRenderedPageBreak/>
              <w:t>търговски принцип до три години след публикуването на планираната мярка за помощ, като това също се потвърждава чрез открита обществена консултация (параграф 3).</w:t>
            </w:r>
          </w:p>
          <w:p w:rsidR="00657DDE" w:rsidRPr="00ED6412" w:rsidRDefault="00657DDE" w:rsidP="004F7598">
            <w:pPr>
              <w:numPr>
                <w:ilvl w:val="0"/>
                <w:numId w:val="9"/>
              </w:numPr>
              <w:jc w:val="both"/>
              <w:rPr>
                <w:sz w:val="22"/>
                <w:szCs w:val="22"/>
              </w:rPr>
            </w:pPr>
            <w:r>
              <w:rPr>
                <w:sz w:val="22"/>
              </w:rPr>
              <w:t xml:space="preserve">Помощите се предоставят посредством </w:t>
            </w:r>
            <w:r>
              <w:rPr>
                <w:b/>
                <w:sz w:val="22"/>
              </w:rPr>
              <w:t>открита, прозрачна и недискриминационна конкурентна процедура за подбор</w:t>
            </w:r>
            <w:r>
              <w:rPr>
                <w:sz w:val="22"/>
              </w:rPr>
              <w:t xml:space="preserve"> при спазване на принципа за технологична неутралност (параграф 4).</w:t>
            </w:r>
          </w:p>
          <w:p w:rsidR="00657DDE" w:rsidRPr="00ED6412" w:rsidRDefault="00657DDE" w:rsidP="004F7598">
            <w:pPr>
              <w:numPr>
                <w:ilvl w:val="0"/>
                <w:numId w:val="9"/>
              </w:numPr>
              <w:jc w:val="both"/>
              <w:rPr>
                <w:sz w:val="22"/>
                <w:szCs w:val="22"/>
              </w:rPr>
            </w:pPr>
            <w:r>
              <w:rPr>
                <w:sz w:val="22"/>
              </w:rPr>
              <w:t xml:space="preserve">Мрежовият оператор предлага възможно най-голям активен и пасивен </w:t>
            </w:r>
            <w:r>
              <w:rPr>
                <w:b/>
                <w:sz w:val="22"/>
              </w:rPr>
              <w:t>достъп на едро</w:t>
            </w:r>
            <w:r>
              <w:rPr>
                <w:sz w:val="22"/>
              </w:rPr>
              <w:t xml:space="preserve"> в съответствие с член 2, точка 139 от настоящия регламент при справедливи и недискриминационни условия, включително необвързан физически достъп при мрежите за достъп от следващо поколение. Този достъп на едро се предоставя за период от най-малко седем години и правото на достъп до проводи или стълбове не е ограничено във времето. В случай на помощ за изграждане на проводи тези проводи са достатъчно широки, за да съдържат няколко кабелни мрежи и различни мрежови топологии (параграф 5).</w:t>
            </w:r>
          </w:p>
          <w:p w:rsidR="00657DDE" w:rsidRPr="00ED6412" w:rsidRDefault="00657DDE" w:rsidP="004F7598">
            <w:pPr>
              <w:numPr>
                <w:ilvl w:val="0"/>
                <w:numId w:val="9"/>
              </w:numPr>
              <w:jc w:val="both"/>
              <w:rPr>
                <w:sz w:val="22"/>
                <w:szCs w:val="22"/>
              </w:rPr>
            </w:pPr>
            <w:r>
              <w:rPr>
                <w:b/>
                <w:sz w:val="22"/>
              </w:rPr>
              <w:t>Цената за достъпа на едро</w:t>
            </w:r>
            <w:r>
              <w:rPr>
                <w:sz w:val="22"/>
              </w:rPr>
              <w:t xml:space="preserve"> се основава на принципите на ценообразуване, определени от националния регулаторен орган, и на показатели, които преобладават в други сравними по-конкурентоспособни региони в държавата членка или в Съюза, като се взема предвид помощта, получена от мрежовия оператор. С националния регулаторен орган се провеждат консултации относно условията за достъп, включително ценообразуването, и в случай на спор между желаещите да получат достъп и оператора на подпомаганата инфраструктура (параграф 6).</w:t>
            </w:r>
          </w:p>
          <w:p w:rsidR="00BB080C" w:rsidRPr="00ED6412" w:rsidRDefault="00657DDE" w:rsidP="004F7598">
            <w:pPr>
              <w:numPr>
                <w:ilvl w:val="0"/>
                <w:numId w:val="9"/>
              </w:numPr>
              <w:rPr>
                <w:sz w:val="22"/>
                <w:szCs w:val="22"/>
              </w:rPr>
            </w:pPr>
            <w:r>
              <w:rPr>
                <w:sz w:val="22"/>
              </w:rPr>
              <w:t>Държавите членки въвеждат механизъм за контрол и възстановяване на предоставените средства, ако размерът на помощта по проекта надхвърля 10 милиона евро (параграф 7).</w:t>
            </w:r>
          </w:p>
        </w:tc>
        <w:tc>
          <w:tcPr>
            <w:tcW w:w="2087" w:type="pct"/>
            <w:shd w:val="clear" w:color="auto" w:fill="auto"/>
          </w:tcPr>
          <w:p w:rsidR="00BB080C" w:rsidRPr="00ED6412" w:rsidRDefault="00BB080C" w:rsidP="00ED6412">
            <w:pPr>
              <w:rPr>
                <w:sz w:val="22"/>
                <w:szCs w:val="22"/>
              </w:rPr>
            </w:pPr>
          </w:p>
        </w:tc>
      </w:tr>
    </w:tbl>
    <w:p w:rsidR="00E002A5" w:rsidRPr="00ED6412" w:rsidRDefault="00E002A5" w:rsidP="00ED6412">
      <w:pPr>
        <w:rPr>
          <w:sz w:val="22"/>
          <w:szCs w:val="22"/>
        </w:rPr>
      </w:pPr>
    </w:p>
    <w:sectPr w:rsidR="00E002A5" w:rsidRPr="00ED6412" w:rsidSect="00B87FF0">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1C" w:rsidRDefault="0079451C">
      <w:r>
        <w:separator/>
      </w:r>
    </w:p>
  </w:endnote>
  <w:endnote w:type="continuationSeparator" w:id="0">
    <w:p w:rsidR="0079451C" w:rsidRDefault="0079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70" w:rsidRDefault="00B87FF0" w:rsidP="00B87FF0">
    <w:pPr>
      <w:pStyle w:val="Footer"/>
      <w:jc w:val="right"/>
    </w:pPr>
    <w:r>
      <w:fldChar w:fldCharType="begin"/>
    </w:r>
    <w:r>
      <w:instrText xml:space="preserve"> PAGE   \* MERGEFORMAT </w:instrText>
    </w:r>
    <w:r>
      <w:fldChar w:fldCharType="separate"/>
    </w:r>
    <w:r w:rsidR="00CE2628">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70" w:rsidRPr="00B87FF0" w:rsidRDefault="00B87FF0">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1C" w:rsidRDefault="0079451C">
      <w:r>
        <w:separator/>
      </w:r>
    </w:p>
  </w:footnote>
  <w:footnote w:type="continuationSeparator" w:id="0">
    <w:p w:rsidR="0079451C" w:rsidRDefault="0079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70" w:rsidRDefault="007C4070" w:rsidP="007C4070">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7C4070" w:rsidRDefault="007C4070" w:rsidP="007C4070">
    <w:pPr>
      <w:autoSpaceDE w:val="0"/>
      <w:autoSpaceDN w:val="0"/>
      <w:ind w:right="-567"/>
      <w:jc w:val="both"/>
      <w:rPr>
        <w:b/>
        <w:bCs/>
        <w:noProof/>
        <w:snapToGrid w:val="0"/>
        <w:color w:val="000000"/>
        <w:u w:val="single"/>
      </w:rPr>
    </w:pPr>
  </w:p>
  <w:p w:rsidR="007C4070" w:rsidRDefault="007C4070" w:rsidP="007C4070">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EF6FD8" w:rsidRDefault="00EF6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F0" w:rsidRDefault="00B87FF0" w:rsidP="00B87FF0">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B87FF0" w:rsidRDefault="00B87FF0" w:rsidP="00B87FF0">
    <w:pPr>
      <w:autoSpaceDE w:val="0"/>
      <w:autoSpaceDN w:val="0"/>
      <w:ind w:right="-567"/>
      <w:jc w:val="both"/>
      <w:rPr>
        <w:b/>
        <w:bCs/>
        <w:noProof/>
        <w:snapToGrid w:val="0"/>
        <w:color w:val="000000"/>
        <w:u w:val="single"/>
      </w:rPr>
    </w:pPr>
  </w:p>
  <w:p w:rsidR="00B87FF0" w:rsidRDefault="00B87FF0" w:rsidP="00B87FF0">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7C4070" w:rsidRDefault="007C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05B67"/>
    <w:multiLevelType w:val="hybridMultilevel"/>
    <w:tmpl w:val="79A4EFE8"/>
    <w:lvl w:ilvl="0" w:tplc="08090019">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D5AB1"/>
    <w:multiLevelType w:val="hybridMultilevel"/>
    <w:tmpl w:val="FAF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447C67"/>
    <w:multiLevelType w:val="hybridMultilevel"/>
    <w:tmpl w:val="ED3A6D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6"/>
  </w:num>
  <w:num w:numId="4">
    <w:abstractNumId w:val="4"/>
  </w:num>
  <w:num w:numId="5">
    <w:abstractNumId w:val="13"/>
  </w:num>
  <w:num w:numId="6">
    <w:abstractNumId w:val="0"/>
  </w:num>
  <w:num w:numId="7">
    <w:abstractNumId w:val="3"/>
  </w:num>
  <w:num w:numId="8">
    <w:abstractNumId w:val="5"/>
  </w:num>
  <w:num w:numId="9">
    <w:abstractNumId w:val="8"/>
  </w:num>
  <w:num w:numId="10">
    <w:abstractNumId w:val="9"/>
  </w:num>
  <w:num w:numId="11">
    <w:abstractNumId w:val="15"/>
  </w:num>
  <w:num w:numId="12">
    <w:abstractNumId w:val="12"/>
  </w:num>
  <w:num w:numId="13">
    <w:abstractNumId w:val="1"/>
  </w:num>
  <w:num w:numId="14">
    <w:abstractNumId w:val="11"/>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23691"/>
    <w:rsid w:val="000307FC"/>
    <w:rsid w:val="000372A4"/>
    <w:rsid w:val="0004275D"/>
    <w:rsid w:val="00045763"/>
    <w:rsid w:val="00045C91"/>
    <w:rsid w:val="00047DB1"/>
    <w:rsid w:val="0005205D"/>
    <w:rsid w:val="000550A4"/>
    <w:rsid w:val="00066155"/>
    <w:rsid w:val="000729AA"/>
    <w:rsid w:val="0007495E"/>
    <w:rsid w:val="00085359"/>
    <w:rsid w:val="000934FB"/>
    <w:rsid w:val="000969AA"/>
    <w:rsid w:val="0009762A"/>
    <w:rsid w:val="000A0383"/>
    <w:rsid w:val="000A19E8"/>
    <w:rsid w:val="000A2636"/>
    <w:rsid w:val="000A7662"/>
    <w:rsid w:val="000B0C62"/>
    <w:rsid w:val="000C08B0"/>
    <w:rsid w:val="000C51C2"/>
    <w:rsid w:val="000E10AB"/>
    <w:rsid w:val="000E4DAE"/>
    <w:rsid w:val="000E55B8"/>
    <w:rsid w:val="000F1FCD"/>
    <w:rsid w:val="000F2C08"/>
    <w:rsid w:val="000F410B"/>
    <w:rsid w:val="000F6924"/>
    <w:rsid w:val="000F75EF"/>
    <w:rsid w:val="00106191"/>
    <w:rsid w:val="0012665D"/>
    <w:rsid w:val="0013556A"/>
    <w:rsid w:val="00176DBE"/>
    <w:rsid w:val="00180EAA"/>
    <w:rsid w:val="00182C68"/>
    <w:rsid w:val="001B05F1"/>
    <w:rsid w:val="001C0C3A"/>
    <w:rsid w:val="001C1E37"/>
    <w:rsid w:val="001D0FD1"/>
    <w:rsid w:val="001F19D2"/>
    <w:rsid w:val="001F48D0"/>
    <w:rsid w:val="001F52DD"/>
    <w:rsid w:val="0020708C"/>
    <w:rsid w:val="002102A6"/>
    <w:rsid w:val="00221B84"/>
    <w:rsid w:val="00222F1C"/>
    <w:rsid w:val="00231553"/>
    <w:rsid w:val="0023155D"/>
    <w:rsid w:val="002427AF"/>
    <w:rsid w:val="00246AD5"/>
    <w:rsid w:val="002470A3"/>
    <w:rsid w:val="00275069"/>
    <w:rsid w:val="00291068"/>
    <w:rsid w:val="002920BD"/>
    <w:rsid w:val="00293736"/>
    <w:rsid w:val="002A7D18"/>
    <w:rsid w:val="002B3E57"/>
    <w:rsid w:val="002B4358"/>
    <w:rsid w:val="002B4CA9"/>
    <w:rsid w:val="002B54DF"/>
    <w:rsid w:val="002D1692"/>
    <w:rsid w:val="002D4CC4"/>
    <w:rsid w:val="002E3BB9"/>
    <w:rsid w:val="00307511"/>
    <w:rsid w:val="00311BDC"/>
    <w:rsid w:val="00311CBB"/>
    <w:rsid w:val="00321646"/>
    <w:rsid w:val="00330E65"/>
    <w:rsid w:val="003328CD"/>
    <w:rsid w:val="00335035"/>
    <w:rsid w:val="00335128"/>
    <w:rsid w:val="00336EAF"/>
    <w:rsid w:val="00337965"/>
    <w:rsid w:val="003464FF"/>
    <w:rsid w:val="00347031"/>
    <w:rsid w:val="00356870"/>
    <w:rsid w:val="00370AA0"/>
    <w:rsid w:val="0037514B"/>
    <w:rsid w:val="0037615F"/>
    <w:rsid w:val="00397EC8"/>
    <w:rsid w:val="003A34CB"/>
    <w:rsid w:val="003A70AE"/>
    <w:rsid w:val="003B745C"/>
    <w:rsid w:val="003D0F3D"/>
    <w:rsid w:val="003D41BA"/>
    <w:rsid w:val="003E0049"/>
    <w:rsid w:val="003E00A3"/>
    <w:rsid w:val="003E4E9D"/>
    <w:rsid w:val="003E7E92"/>
    <w:rsid w:val="003F593F"/>
    <w:rsid w:val="003F7596"/>
    <w:rsid w:val="00400566"/>
    <w:rsid w:val="00421231"/>
    <w:rsid w:val="0042377F"/>
    <w:rsid w:val="00424808"/>
    <w:rsid w:val="004412F5"/>
    <w:rsid w:val="004452B6"/>
    <w:rsid w:val="00447BCB"/>
    <w:rsid w:val="0045170D"/>
    <w:rsid w:val="004528DD"/>
    <w:rsid w:val="004570A1"/>
    <w:rsid w:val="004618BB"/>
    <w:rsid w:val="00461A7C"/>
    <w:rsid w:val="004745B1"/>
    <w:rsid w:val="00481FD8"/>
    <w:rsid w:val="004842E8"/>
    <w:rsid w:val="004A36AF"/>
    <w:rsid w:val="004B7EF7"/>
    <w:rsid w:val="004D0D76"/>
    <w:rsid w:val="004F201B"/>
    <w:rsid w:val="004F45D5"/>
    <w:rsid w:val="004F6330"/>
    <w:rsid w:val="004F7598"/>
    <w:rsid w:val="00502676"/>
    <w:rsid w:val="00507F95"/>
    <w:rsid w:val="00513516"/>
    <w:rsid w:val="005218F0"/>
    <w:rsid w:val="00531692"/>
    <w:rsid w:val="00534552"/>
    <w:rsid w:val="005442C1"/>
    <w:rsid w:val="00551033"/>
    <w:rsid w:val="00554D95"/>
    <w:rsid w:val="00557283"/>
    <w:rsid w:val="00571298"/>
    <w:rsid w:val="00572D2C"/>
    <w:rsid w:val="005836B6"/>
    <w:rsid w:val="005875CA"/>
    <w:rsid w:val="00593387"/>
    <w:rsid w:val="005B598E"/>
    <w:rsid w:val="005E23C6"/>
    <w:rsid w:val="005E7699"/>
    <w:rsid w:val="005F14EC"/>
    <w:rsid w:val="0061207C"/>
    <w:rsid w:val="0061345C"/>
    <w:rsid w:val="006149DC"/>
    <w:rsid w:val="006155AB"/>
    <w:rsid w:val="00620255"/>
    <w:rsid w:val="00624BDF"/>
    <w:rsid w:val="00626599"/>
    <w:rsid w:val="0063569E"/>
    <w:rsid w:val="00654CC5"/>
    <w:rsid w:val="00657DDE"/>
    <w:rsid w:val="00660ED7"/>
    <w:rsid w:val="00663D78"/>
    <w:rsid w:val="0066573A"/>
    <w:rsid w:val="0067010A"/>
    <w:rsid w:val="00674F49"/>
    <w:rsid w:val="00682CD5"/>
    <w:rsid w:val="006C6F39"/>
    <w:rsid w:val="006D137E"/>
    <w:rsid w:val="006D612B"/>
    <w:rsid w:val="006E1F72"/>
    <w:rsid w:val="0070535F"/>
    <w:rsid w:val="0071260C"/>
    <w:rsid w:val="00723ECD"/>
    <w:rsid w:val="00761D21"/>
    <w:rsid w:val="00773F1E"/>
    <w:rsid w:val="00783CA1"/>
    <w:rsid w:val="0079018B"/>
    <w:rsid w:val="0079451C"/>
    <w:rsid w:val="007964F7"/>
    <w:rsid w:val="007A2C05"/>
    <w:rsid w:val="007B0B68"/>
    <w:rsid w:val="007B6E14"/>
    <w:rsid w:val="007C4070"/>
    <w:rsid w:val="007C4733"/>
    <w:rsid w:val="007D38D4"/>
    <w:rsid w:val="007D461F"/>
    <w:rsid w:val="007D6D47"/>
    <w:rsid w:val="007E1A2F"/>
    <w:rsid w:val="007F572A"/>
    <w:rsid w:val="00801247"/>
    <w:rsid w:val="00832DAB"/>
    <w:rsid w:val="00846CD1"/>
    <w:rsid w:val="00846DC2"/>
    <w:rsid w:val="008476F4"/>
    <w:rsid w:val="00852C3B"/>
    <w:rsid w:val="00856814"/>
    <w:rsid w:val="00867005"/>
    <w:rsid w:val="00883D14"/>
    <w:rsid w:val="00883DFF"/>
    <w:rsid w:val="00885BB0"/>
    <w:rsid w:val="00895393"/>
    <w:rsid w:val="008A3AC1"/>
    <w:rsid w:val="008A3D6A"/>
    <w:rsid w:val="008B33CE"/>
    <w:rsid w:val="008B62F4"/>
    <w:rsid w:val="008C1495"/>
    <w:rsid w:val="008C5BB2"/>
    <w:rsid w:val="008D3D7C"/>
    <w:rsid w:val="008E04E1"/>
    <w:rsid w:val="008F28E4"/>
    <w:rsid w:val="008F3609"/>
    <w:rsid w:val="008F7532"/>
    <w:rsid w:val="00920585"/>
    <w:rsid w:val="0092466F"/>
    <w:rsid w:val="00931208"/>
    <w:rsid w:val="00933D5C"/>
    <w:rsid w:val="00947544"/>
    <w:rsid w:val="0095164F"/>
    <w:rsid w:val="0095335C"/>
    <w:rsid w:val="00953FA9"/>
    <w:rsid w:val="009552D3"/>
    <w:rsid w:val="00960792"/>
    <w:rsid w:val="00961262"/>
    <w:rsid w:val="009731D2"/>
    <w:rsid w:val="00977A9A"/>
    <w:rsid w:val="00981AB9"/>
    <w:rsid w:val="00984FC3"/>
    <w:rsid w:val="00986F2B"/>
    <w:rsid w:val="00991733"/>
    <w:rsid w:val="00994B7C"/>
    <w:rsid w:val="00995DBB"/>
    <w:rsid w:val="009A7F51"/>
    <w:rsid w:val="009B0CDD"/>
    <w:rsid w:val="009C13FD"/>
    <w:rsid w:val="009C419A"/>
    <w:rsid w:val="009E14D9"/>
    <w:rsid w:val="009F0902"/>
    <w:rsid w:val="009F52DA"/>
    <w:rsid w:val="00A21C2F"/>
    <w:rsid w:val="00A2428C"/>
    <w:rsid w:val="00A24976"/>
    <w:rsid w:val="00A33774"/>
    <w:rsid w:val="00A404CF"/>
    <w:rsid w:val="00A415C5"/>
    <w:rsid w:val="00A43E85"/>
    <w:rsid w:val="00A46329"/>
    <w:rsid w:val="00A46614"/>
    <w:rsid w:val="00A6604D"/>
    <w:rsid w:val="00A67375"/>
    <w:rsid w:val="00A774BC"/>
    <w:rsid w:val="00A8428A"/>
    <w:rsid w:val="00A8762D"/>
    <w:rsid w:val="00AA37CE"/>
    <w:rsid w:val="00AA6116"/>
    <w:rsid w:val="00AA6977"/>
    <w:rsid w:val="00AA779E"/>
    <w:rsid w:val="00AB1D4E"/>
    <w:rsid w:val="00AB6771"/>
    <w:rsid w:val="00AB7FD4"/>
    <w:rsid w:val="00AC1C17"/>
    <w:rsid w:val="00AC1C80"/>
    <w:rsid w:val="00AC39C3"/>
    <w:rsid w:val="00AC4476"/>
    <w:rsid w:val="00AD2B50"/>
    <w:rsid w:val="00AE1488"/>
    <w:rsid w:val="00AE56FC"/>
    <w:rsid w:val="00B04F8D"/>
    <w:rsid w:val="00B106C8"/>
    <w:rsid w:val="00B4159B"/>
    <w:rsid w:val="00B46C58"/>
    <w:rsid w:val="00B55BDD"/>
    <w:rsid w:val="00B70C80"/>
    <w:rsid w:val="00B87F87"/>
    <w:rsid w:val="00B87FF0"/>
    <w:rsid w:val="00B94558"/>
    <w:rsid w:val="00BA710B"/>
    <w:rsid w:val="00BB06AE"/>
    <w:rsid w:val="00BB080C"/>
    <w:rsid w:val="00BB2CA7"/>
    <w:rsid w:val="00BB62AA"/>
    <w:rsid w:val="00BC4502"/>
    <w:rsid w:val="00BC780C"/>
    <w:rsid w:val="00BD3F80"/>
    <w:rsid w:val="00BE13EB"/>
    <w:rsid w:val="00BF4423"/>
    <w:rsid w:val="00C032F5"/>
    <w:rsid w:val="00C12FD6"/>
    <w:rsid w:val="00C146A4"/>
    <w:rsid w:val="00C31F0E"/>
    <w:rsid w:val="00C400E7"/>
    <w:rsid w:val="00C4593E"/>
    <w:rsid w:val="00C5368A"/>
    <w:rsid w:val="00C615C4"/>
    <w:rsid w:val="00C62BFC"/>
    <w:rsid w:val="00C64EBE"/>
    <w:rsid w:val="00C66B4C"/>
    <w:rsid w:val="00C71B8F"/>
    <w:rsid w:val="00C93DBE"/>
    <w:rsid w:val="00CA2F50"/>
    <w:rsid w:val="00CB12B9"/>
    <w:rsid w:val="00CB55F1"/>
    <w:rsid w:val="00CD5054"/>
    <w:rsid w:val="00CE25D0"/>
    <w:rsid w:val="00CE2628"/>
    <w:rsid w:val="00CE58B8"/>
    <w:rsid w:val="00CE73F7"/>
    <w:rsid w:val="00D177B0"/>
    <w:rsid w:val="00D30804"/>
    <w:rsid w:val="00D324A5"/>
    <w:rsid w:val="00D3640F"/>
    <w:rsid w:val="00D375E4"/>
    <w:rsid w:val="00D40C63"/>
    <w:rsid w:val="00D42B4C"/>
    <w:rsid w:val="00D432C8"/>
    <w:rsid w:val="00D435B4"/>
    <w:rsid w:val="00D44F34"/>
    <w:rsid w:val="00D51612"/>
    <w:rsid w:val="00D53F45"/>
    <w:rsid w:val="00D55F5A"/>
    <w:rsid w:val="00D64EFF"/>
    <w:rsid w:val="00D715B3"/>
    <w:rsid w:val="00D807E0"/>
    <w:rsid w:val="00D81FAA"/>
    <w:rsid w:val="00DB569B"/>
    <w:rsid w:val="00DD57E1"/>
    <w:rsid w:val="00DE1EEC"/>
    <w:rsid w:val="00DE6449"/>
    <w:rsid w:val="00DE6687"/>
    <w:rsid w:val="00DE7770"/>
    <w:rsid w:val="00E002A5"/>
    <w:rsid w:val="00E158B2"/>
    <w:rsid w:val="00E25E2E"/>
    <w:rsid w:val="00E351CB"/>
    <w:rsid w:val="00E37A77"/>
    <w:rsid w:val="00E51FC5"/>
    <w:rsid w:val="00E57D5E"/>
    <w:rsid w:val="00E649EB"/>
    <w:rsid w:val="00E71C38"/>
    <w:rsid w:val="00EA0570"/>
    <w:rsid w:val="00EA5920"/>
    <w:rsid w:val="00EA594D"/>
    <w:rsid w:val="00EA7B22"/>
    <w:rsid w:val="00EC3C1E"/>
    <w:rsid w:val="00ED5B7F"/>
    <w:rsid w:val="00ED6412"/>
    <w:rsid w:val="00EE4443"/>
    <w:rsid w:val="00EE4B09"/>
    <w:rsid w:val="00EF14CC"/>
    <w:rsid w:val="00EF4AEC"/>
    <w:rsid w:val="00EF6FD8"/>
    <w:rsid w:val="00EF7825"/>
    <w:rsid w:val="00F050C8"/>
    <w:rsid w:val="00F0671F"/>
    <w:rsid w:val="00F1470E"/>
    <w:rsid w:val="00F1607C"/>
    <w:rsid w:val="00F16C18"/>
    <w:rsid w:val="00F177AC"/>
    <w:rsid w:val="00F24F5B"/>
    <w:rsid w:val="00F26421"/>
    <w:rsid w:val="00F27FDA"/>
    <w:rsid w:val="00F35FBA"/>
    <w:rsid w:val="00F45150"/>
    <w:rsid w:val="00F464CF"/>
    <w:rsid w:val="00F50360"/>
    <w:rsid w:val="00F6027A"/>
    <w:rsid w:val="00F616B1"/>
    <w:rsid w:val="00F83023"/>
    <w:rsid w:val="00F83964"/>
    <w:rsid w:val="00F856AA"/>
    <w:rsid w:val="00FA329D"/>
    <w:rsid w:val="00FB1D1F"/>
    <w:rsid w:val="00FB4961"/>
    <w:rsid w:val="00FB562F"/>
    <w:rsid w:val="00FC2D31"/>
    <w:rsid w:val="00FC42D8"/>
    <w:rsid w:val="00FD2944"/>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EF6FD8"/>
    <w:pPr>
      <w:tabs>
        <w:tab w:val="center" w:pos="4536"/>
        <w:tab w:val="right" w:pos="9072"/>
      </w:tabs>
    </w:pPr>
  </w:style>
  <w:style w:type="character" w:customStyle="1" w:styleId="HeaderChar">
    <w:name w:val="Header Char"/>
    <w:link w:val="Header"/>
    <w:uiPriority w:val="99"/>
    <w:rsid w:val="00EF6FD8"/>
    <w:rPr>
      <w:sz w:val="24"/>
      <w:szCs w:val="24"/>
      <w:lang w:eastAsia="bg-BG"/>
    </w:rPr>
  </w:style>
  <w:style w:type="paragraph" w:styleId="Footer">
    <w:name w:val="footer"/>
    <w:basedOn w:val="Normal"/>
    <w:link w:val="FooterChar"/>
    <w:uiPriority w:val="99"/>
    <w:rsid w:val="00EF6FD8"/>
    <w:pPr>
      <w:tabs>
        <w:tab w:val="center" w:pos="4536"/>
        <w:tab w:val="right" w:pos="9072"/>
      </w:tabs>
    </w:pPr>
  </w:style>
  <w:style w:type="character" w:customStyle="1" w:styleId="FooterChar">
    <w:name w:val="Footer Char"/>
    <w:link w:val="Footer"/>
    <w:uiPriority w:val="99"/>
    <w:rsid w:val="00EF6FD8"/>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EF6FD8"/>
    <w:pPr>
      <w:tabs>
        <w:tab w:val="center" w:pos="4536"/>
        <w:tab w:val="right" w:pos="9072"/>
      </w:tabs>
    </w:pPr>
  </w:style>
  <w:style w:type="character" w:customStyle="1" w:styleId="HeaderChar">
    <w:name w:val="Header Char"/>
    <w:link w:val="Header"/>
    <w:uiPriority w:val="99"/>
    <w:rsid w:val="00EF6FD8"/>
    <w:rPr>
      <w:sz w:val="24"/>
      <w:szCs w:val="24"/>
      <w:lang w:eastAsia="bg-BG"/>
    </w:rPr>
  </w:style>
  <w:style w:type="paragraph" w:styleId="Footer">
    <w:name w:val="footer"/>
    <w:basedOn w:val="Normal"/>
    <w:link w:val="FooterChar"/>
    <w:uiPriority w:val="99"/>
    <w:rsid w:val="00EF6FD8"/>
    <w:pPr>
      <w:tabs>
        <w:tab w:val="center" w:pos="4536"/>
        <w:tab w:val="right" w:pos="9072"/>
      </w:tabs>
    </w:pPr>
  </w:style>
  <w:style w:type="character" w:customStyle="1" w:styleId="FooterChar">
    <w:name w:val="Footer Char"/>
    <w:link w:val="Footer"/>
    <w:uiPriority w:val="99"/>
    <w:rsid w:val="00EF6FD8"/>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699">
      <w:bodyDiv w:val="1"/>
      <w:marLeft w:val="0"/>
      <w:marRight w:val="0"/>
      <w:marTop w:val="0"/>
      <w:marBottom w:val="0"/>
      <w:divBdr>
        <w:top w:val="none" w:sz="0" w:space="0" w:color="auto"/>
        <w:left w:val="none" w:sz="0" w:space="0" w:color="auto"/>
        <w:bottom w:val="none" w:sz="0" w:space="0" w:color="auto"/>
        <w:right w:val="none" w:sz="0" w:space="0" w:color="auto"/>
      </w:divBdr>
    </w:div>
    <w:div w:id="124934757">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AEA3-C2B0-4539-8875-271B2400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2015-01-23T08:21:00Z</cp:lastPrinted>
  <dcterms:created xsi:type="dcterms:W3CDTF">2016-04-05T12:30:00Z</dcterms:created>
  <dcterms:modified xsi:type="dcterms:W3CDTF">2016-04-05T12:30:00Z</dcterms:modified>
</cp:coreProperties>
</file>